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HUF.DRAFT.CASE.EXHIBIT.CASE_D2_EXHIBIT_B | HUF:1.1.8 | DOC:v1.0 | STATUS:draft | LANE:DRAFT | RO:Peter Higgins</w:t>
      </w:r>
    </w:p>
    <w:p>
      <w:r>
        <w:rPr>
          <w:rFonts w:ascii="Courier New" w:hAnsi="Courier New"/>
          <w:sz w:val="16"/>
          <w:szCs w:val="16"/>
          <w:color w:val="666666"/>
        </w:rPr>
        <w:t xml:space="preserve">CODES: huf, case study, D2, exhibit B | ART: CM, AS, TR, EB | EVID:E1 | POSTURE: OP | WEIGHTS: OP=0.80 TOOL=0.15 PEER=0.05 | CAP: OP_MIN=0.51 TOOL_MAX=0.49 | CANON:notes/current_documents/staged/HUF.DRAFT.CASE.EXHIBIT.CASE_D2_EXHIBIT_B/</w:t>
      </w:r>
    </w:p>
    <w:p>
      <w:pPr>
        <w:spacing w:before="0" w:after="60"/>
      </w:pPr>
    </w:p>
    <w:p>
      <w:pPr>
        <w:spacing w:before="0" w:after="16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111111"/>
          <w:sz w:val="28"/>
          <w:szCs w:val="28"/>
        </w:rPr>
        <w:t xml:space="preserve">HIGGINS UNITY FRAMEWORK</w:t>
      </w:r>
    </w:p>
    <w:p>
      <w:pPr>
        <w:spacing w:before="0" w:after="60" w:line="276"/>
        <w:jc w:val="center"/>
      </w:pPr>
      <w:r>
        <w:rPr>
          <w:rFonts w:ascii="Arial" w:cs="Arial" w:eastAsia="Arial" w:hAnsi="Arial"/>
          <w:b w:val="false"/>
          <w:bCs w:val="false"/>
          <w:i w:val="false"/>
          <w:iCs w:val="false"/>
          <w:color w:val="555555"/>
          <w:sz w:val="24"/>
          <w:szCs w:val="24"/>
        </w:rPr>
        <w:t xml:space="preserve">APPENDIX D — Research Case Studies</w:t>
      </w:r>
    </w:p>
    <w:p>
      <w:pPr>
        <w:spacing w:before="0" w:after="40" w:line="276"/>
        <w:jc w:val="center"/>
      </w:pPr>
      <w:r>
        <w:rPr>
          <w:rFonts w:ascii="Arial" w:cs="Arial" w:eastAsia="Arial" w:hAnsi="Arial"/>
          <w:b/>
          <w:bCs/>
          <w:i w:val="false"/>
          <w:iCs w:val="false"/>
          <w:color w:val="111111"/>
          <w:sz w:val="36"/>
          <w:szCs w:val="36"/>
        </w:rPr>
        <w:t xml:space="preserve">Case Study D.2 — Exhibit B</w:t>
      </w:r>
    </w:p>
    <w:p>
      <w:pPr>
        <w:spacing w:before="0" w:after="20" w:line="276"/>
        <w:jc w:val="center"/>
      </w:pPr>
      <w:r>
        <w:rPr>
          <w:rFonts w:ascii="Georgia" w:cs="Georgia" w:eastAsia="Georgia" w:hAnsi="Georgia"/>
          <w:b w:val="false"/>
          <w:bCs w:val="false"/>
          <w:i/>
          <w:iCs/>
          <w:color w:val="333333"/>
          <w:sz w:val="28"/>
          <w:szCs w:val="28"/>
        </w:rPr>
        <w:t xml:space="preserve">Three-Domain Declaration Comparison:</w:t>
      </w:r>
    </w:p>
    <w:p>
      <w:pPr>
        <w:spacing w:before="0" w:after="80" w:line="276"/>
        <w:jc w:val="center"/>
      </w:pPr>
      <w:r>
        <w:rPr>
          <w:rFonts w:ascii="Georgia" w:cs="Georgia" w:eastAsia="Georgia" w:hAnsi="Georgia"/>
          <w:b w:val="false"/>
          <w:bCs w:val="false"/>
          <w:i/>
          <w:iCs/>
          <w:color w:val="333333"/>
          <w:sz w:val="28"/>
          <w:szCs w:val="28"/>
        </w:rPr>
        <w:t xml:space="preserve">Sourdough Loaf  ·  Croatia Ramsar Portfolio  ·  Software Retrieval Pipeline</w:t>
      </w:r>
    </w:p>
    <w:p>
      <w:pPr>
        <w:spacing w:before="0" w:after="60" w:line="276"/>
        <w:jc w:val="center"/>
      </w:pPr>
      <w:r>
        <w:rPr>
          <w:rFonts w:ascii="Georgia" w:cs="Georgia" w:eastAsia="Georgia" w:hAnsi="Georgia"/>
          <w:b w:val="false"/>
          <w:bCs w:val="false"/>
          <w:i/>
          <w:iCs/>
          <w:color w:val="555555"/>
          <w:sz w:val="26"/>
          <w:szCs w:val="26"/>
        </w:rPr>
        <w:t xml:space="preserve">Empirical Validation of Proposition 7.1 — Structural Invariance (Interpretive)</w:t>
      </w:r>
    </w:p>
    <w:p>
      <w:pPr>
        <w:spacing w:before="0" w:after="40" w:line="276"/>
        <w:jc w:val="center"/>
      </w:pPr>
      <w:r>
        <w:rPr>
          <w:rFonts w:ascii="Georgia" w:cs="Georgia" w:eastAsia="Georgia" w:hAnsi="Georgia"/>
          <w:b w:val="false"/>
          <w:bCs w:val="false"/>
          <w:i w:val="false"/>
          <w:iCs w:val="false"/>
          <w:color w:val="888888"/>
          <w:sz w:val="20"/>
          <w:szCs w:val="20"/>
        </w:rPr>
        <w:t xml:space="preserve">Observer: HUF Compliance Engine v1.2.0  ·  February 2026</w:t>
      </w:r>
    </w:p>
    <w:p>
      <w:pPr>
        <w:spacing w:before="0" w:after="200" w:line="276"/>
        <w:jc w:val="center"/>
      </w:pPr>
      <w:r>
        <w:rPr>
          <w:rFonts w:ascii="Georgia" w:cs="Georgia" w:eastAsia="Georgia" w:hAnsi="Georgia"/>
          <w:b w:val="false"/>
          <w:bCs w:val="false"/>
          <w:i w:val="false"/>
          <w:iCs w:val="false"/>
          <w:color w:val="AAAAAA"/>
          <w:sz w:val="20"/>
          <w:szCs w:val="20"/>
        </w:rPr>
        <w:t xml:space="preserve">Handbook v1.2.0 · MIT License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005588" w:sz="6" w:space="8"/>
        </w:pBdr>
        <w:spacing w:before="80" w:after="80" w:line="276"/>
        <w:ind w:left="360"/>
        <w:jc w:val="both"/>
      </w:pPr>
      <w:r>
        <w:rPr>
          <w:rFonts w:ascii="Arial" w:cs="Arial" w:eastAsia="Arial" w:hAnsi="Arial"/>
          <w:b/>
          <w:bCs/>
          <w:i w:val="false"/>
          <w:iCs w:val="false"/>
          <w:color w:val="005588"/>
          <w:sz w:val="24"/>
          <w:szCs w:val="24"/>
        </w:rPr>
        <w:t xml:space="preserve">SCOPE POSTURE:  </w:t>
      </w:r>
      <w:r>
        <w:rPr>
          <w:rFonts w:ascii="Georgia" w:cs="Georgia" w:eastAsia="Georgia" w:hAnsi="Georgia"/>
          <w:b w:val="false"/>
          <w:bCs w:val="false"/>
          <w:i/>
          <w:iCs/>
          <w:color w:val="005588"/>
          <w:sz w:val="24"/>
          <w:szCs w:val="24"/>
        </w:rPr>
        <w:t xml:space="preserve">Structural invariance (interpretive) — shared diagnostic patterns are structural analogies, not domain-equivalence claims. Three domains are compared because all three are governed by the unity constraint, not because the domains are equivalent.</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Preamble: What This Document Is</w:t>
      </w:r>
    </w:p>
    <w:p>
      <w:pPr>
        <w:spacing w:before="0" w:after="160" w:line="276"/>
        <w:jc w:val="both"/>
      </w:pPr>
      <w:r>
        <w:rPr>
          <w:rFonts w:ascii="Georgia" w:cs="Georgia" w:eastAsia="Georgia" w:hAnsi="Georgia"/>
          <w:b w:val="false"/>
          <w:bCs w:val="false"/>
          <w:i w:val="false"/>
          <w:iCs w:val="false"/>
          <w:color w:val="000000"/>
          <w:sz w:val="24"/>
          <w:szCs w:val="24"/>
        </w:rPr>
        <w:t xml:space="preserve">Case Study D.1 (Exhibit A) demonstrated that the HUF Diagnostic Engine, given only the unity constraint and the vocabulary, applied Tests T1, T4, T5, and T8 to two systems — an artisanal sourdough loaf and the Croatia Ramsar site portfolio — and produced coherent, comparable, formally structured results. The unity constraint applied without domain knowledge of either system.</w:t>
      </w:r>
    </w:p>
    <w:p>
      <w:pPr>
        <w:spacing w:before="0" w:after="160" w:line="276"/>
        <w:jc w:val="both"/>
      </w:pPr>
      <w:r>
        <w:rPr>
          <w:rFonts w:ascii="Georgia" w:cs="Georgia" w:eastAsia="Georgia" w:hAnsi="Georgia"/>
          <w:b w:val="false"/>
          <w:bCs w:val="false"/>
          <w:i w:val="false"/>
          <w:iCs w:val="false"/>
          <w:color w:val="000000"/>
          <w:sz w:val="24"/>
          <w:szCs w:val="24"/>
        </w:rPr>
        <w:t xml:space="preserve">The purpose of Exhibit B is to complete the three-domain confirmation required for strong empirical support of Proposition 7.1 (Structural Invariance, interpretive). A third domain is required that differs from both prior systems in every material way: abstract budget ceiling rather than physical, short characteristic cycles rather than long, software governance rather than culinary or ecological governance.</w:t>
      </w:r>
    </w:p>
    <w:p>
      <w:pPr>
        <w:spacing w:before="0" w:after="160" w:line="276"/>
        <w:jc w:val="both"/>
      </w:pPr>
      <w:r>
        <w:rPr>
          <w:rFonts w:ascii="Georgia" w:cs="Georgia" w:eastAsia="Georgia" w:hAnsi="Georgia"/>
          <w:b w:val="false"/>
          <w:bCs w:val="false"/>
          <w:i w:val="false"/>
          <w:iCs w:val="false"/>
          <w:color w:val="000000"/>
          <w:sz w:val="24"/>
          <w:szCs w:val="24"/>
        </w:rPr>
        <w:t xml:space="preserve">System C is a four-namespace software retrieval pipeline. Its budget ceiling is total query volume. Its elements are content namespaces: General documentation, Technical specifications, Domain specialist (HUF research), and Archive / legacy materials. Its operator is the person who manages namespace priorities and retrieval investment — and who declared, for the first time in this exercise, what their intended allocation should be.</w:t>
      </w:r>
    </w:p>
    <w:p>
      <w:pPr>
        <w:spacing w:before="0" w:after="160" w:line="276"/>
        <w:jc w:val="both"/>
      </w:pPr>
      <w:r>
        <w:rPr>
          <w:rFonts w:ascii="Georgia" w:cs="Georgia" w:eastAsia="Georgia" w:hAnsi="Georgia"/>
          <w:b w:val="false"/>
          <w:bCs w:val="false"/>
          <w:i w:val="false"/>
          <w:iCs w:val="false"/>
          <w:color w:val="000000"/>
          <w:sz w:val="24"/>
          <w:szCs w:val="24"/>
        </w:rPr>
        <w:t xml:space="preserve">If the same diagnostic instrument produces coherent, comparable results across all three domains, Proposition 7.1 has three-domain empirical support with no structural overlap between systems. This is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1: The Three Systems</w:t>
      </w:r>
    </w:p>
    <w:p>
      <w:pPr>
        <w:pStyle w:val="Heading3"/>
        <w:spacing w:before="180" w:after="80"/>
      </w:pPr>
      <w:r>
        <w:rPr>
          <w:rFonts w:ascii="Arial" w:cs="Arial" w:eastAsia="Arial" w:hAnsi="Arial"/>
          <w:b/>
          <w:bCs/>
          <w:i/>
          <w:iCs/>
          <w:color w:val="555555"/>
          <w:sz w:val="26"/>
          <w:szCs w:val="26"/>
        </w:rPr>
        <w:t xml:space="preserve">System A — Artisanal Sourdough Loaf (carried from Exhibit A)</w:t>
      </w:r>
    </w:p>
    <w:p>
      <w:pPr>
        <w:spacing w:before="0" w:after="160" w:line="276"/>
        <w:jc w:val="both"/>
      </w:pPr>
      <w:r>
        <w:rPr>
          <w:rFonts w:ascii="Georgia" w:cs="Georgia" w:eastAsia="Georgia" w:hAnsi="Georgia"/>
          <w:b w:val="false"/>
          <w:bCs w:val="false"/>
          <w:i w:val="false"/>
          <w:iCs w:val="false"/>
          <w:color w:val="000000"/>
          <w:sz w:val="24"/>
          <w:szCs w:val="24"/>
        </w:rPr>
        <w:t xml:space="preserve">Budget ceiling: 1,000g total ingredient mass. Five elements. Highest-Q element: Yeast, leverage 833. Mean drift gap: 1.4pp. Ground state: NEAR GROUND STATE.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B — Croatia Ramsar Site Portfolio (carried from Exhibit A)</w:t>
      </w:r>
    </w:p>
    <w:p>
      <w:pPr>
        <w:spacing w:before="0" w:after="160" w:line="276"/>
        <w:jc w:val="both"/>
      </w:pPr>
      <w:r>
        <w:rPr>
          <w:rFonts w:ascii="Georgia" w:cs="Georgia" w:eastAsia="Georgia" w:hAnsi="Georgia"/>
          <w:b w:val="false"/>
          <w:bCs w:val="false"/>
          <w:i w:val="false"/>
          <w:iCs w:val="false"/>
          <w:color w:val="000000"/>
          <w:sz w:val="24"/>
          <w:szCs w:val="24"/>
        </w:rPr>
        <w:t xml:space="preserve">Budget ceiling: 93,000 ha total designated area. Five sites. Highest-Q element: Crna Mlaka, leverage 149. Mean drift gap: 4.8pp. Ground state: EMERGENT DRIFT.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C — Software Retrieval Pipeline</w:t>
      </w:r>
    </w:p>
    <w:p>
      <w:pPr>
        <w:spacing w:before="0" w:after="160" w:line="276"/>
        <w:jc w:val="both"/>
      </w:pPr>
      <w:r>
        <w:rPr>
          <w:rFonts w:ascii="Georgia" w:cs="Georgia" w:eastAsia="Georgia" w:hAnsi="Georgia"/>
          <w:b w:val="false"/>
          <w:bCs w:val="false"/>
          <w:i w:val="false"/>
          <w:iCs w:val="false"/>
          <w:color w:val="000000"/>
          <w:sz w:val="24"/>
          <w:szCs w:val="24"/>
        </w:rPr>
        <w:t xml:space="preserve">A four-namespace retrieval system. Budget ceiling: total query volume over the observation window, indexed to 1.0. Each namespace holds a proportional share of total retrieval activity. The operator declared intended priority weights before seeing the observed distribution — making this the first formal declaration cycle for this system.</w:t>
      </w:r>
    </w:p>
    <w:p>
      <w:pPr>
        <w:spacing w:before="0" w:after="160" w:line="276"/>
        <w:jc w:val="both"/>
      </w:pPr>
      <w:r>
        <w:rPr>
          <w:rFonts w:ascii="Georgia" w:cs="Georgia" w:eastAsia="Georgia" w:hAnsi="Georgia"/>
          <w:b w:val="false"/>
          <w:bCs w:val="false"/>
          <w:i w:val="false"/>
          <w:iCs w:val="false"/>
          <w:color w:val="000000"/>
          <w:sz w:val="24"/>
          <w:szCs w:val="24"/>
        </w:rPr>
        <w:t xml:space="preserve">Provenance: operator-estimated query-volume distribution, 30-day observation window, February 2026. Declared weights provided by the operator directly. This is the first HUF Declaration for this system.</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The Raw Data</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1320"/>
        <w:gridCol w:w="1920"/>
      </w:tblGrid>
      <w:tr>
        <w:trPr>
          <w:tblHeader/>
        </w:trPr>
        <w:tc>
          <w:tcPr>
            <w:tcW w:type="dxa" w:w="2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Namespace</w:t>
            </w:r>
          </w:p>
        </w:tc>
        <w:tc>
          <w:tcPr>
            <w:tcW w:type="dxa" w:w="17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Declared weight</w:t>
            </w:r>
          </w:p>
        </w:tc>
        <w:tc>
          <w:tcPr>
            <w:tcW w:type="dxa" w:w="17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Observed share</w:t>
            </w:r>
          </w:p>
        </w:tc>
        <w:tc>
          <w:tcPr>
            <w:tcW w:type="dxa" w:w="13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Drift gap</w:t>
            </w:r>
          </w:p>
        </w:tc>
        <w:tc>
          <w:tcPr>
            <w:tcW w:type="dxa" w:w="19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Direction</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documentation</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0.5000  (50.0%)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20.0pp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concentrating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Technical specifications</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on target</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 specialist (HUF)</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0.2000  (20.0%)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0.1300  (13.0%)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depleting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0.2000  (20.0%)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0.0700  (7.0%)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13.0pp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depleting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Σρ</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2: Diagnostic Results</w:t>
      </w:r>
    </w:p>
    <w:p>
      <w:pPr>
        <w:pStyle w:val="Heading2"/>
        <w:spacing w:before="300" w:after="120"/>
      </w:pPr>
      <w:r>
        <w:rPr>
          <w:rFonts w:ascii="Arial" w:cs="Arial" w:eastAsia="Arial" w:hAnsi="Arial"/>
          <w:b/>
          <w:bCs/>
          <w:i w:val="false"/>
          <w:iCs w:val="false"/>
          <w:color w:val="333333"/>
          <w:sz w:val="28"/>
          <w:szCs w:val="28"/>
        </w:rPr>
        <w:t xml:space="preserve">Test T1 —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Both declared weights and observed shares sum to 1.0000. The budget ceiling is fully accounted for in both. No undeclared allocation exists.</w:t>
      </w:r>
    </w:p>
    <w:p>
      <w:pPr>
        <w:spacing w:before="80" w:after="80" w:line="276"/>
        <w:ind w:left="720"/>
        <w:jc w:val="both"/>
      </w:pPr>
      <w:r>
        <w:rPr>
          <w:rFonts w:ascii="Courier New" w:cs="Courier New" w:eastAsia="Courier New" w:hAnsi="Courier New"/>
          <w:b w:val="false"/>
          <w:bCs w:val="false"/>
          <w:i w:val="false"/>
          <w:iCs w:val="false"/>
          <w:color w:val="000000"/>
          <w:sz w:val="24"/>
          <w:szCs w:val="24"/>
        </w:rPr>
        <w:t xml:space="preserve">Σρ_declared  = 0.30 + 0.30 + 0.20 + 0.20  = 1.0000  ✓</w:t>
      </w:r>
    </w:p>
    <w:p>
      <w:pPr>
        <w:spacing w:before="80" w:after="80" w:line="276"/>
        <w:ind w:left="720"/>
        <w:jc w:val="both"/>
      </w:pPr>
      <w:r>
        <w:rPr>
          <w:rFonts w:ascii="Courier New" w:cs="Courier New" w:eastAsia="Courier New" w:hAnsi="Courier New"/>
          <w:b w:val="false"/>
          <w:bCs w:val="false"/>
          <w:i w:val="false"/>
          <w:iCs w:val="false"/>
          <w:color w:val="000000"/>
          <w:sz w:val="24"/>
          <w:szCs w:val="24"/>
        </w:rPr>
        <w:t xml:space="preserve">Σρ_observed  = 0.50 + 0.30 + 0.13 + 0.07  = 1.0000  ✓</w:t>
      </w:r>
    </w:p>
    <w:p>
      <w:pPr>
        <w:spacing w:before="0" w:after="160" w:line="276"/>
        <w:jc w:val="both"/>
      </w:pPr>
      <w:r>
        <w:rPr>
          <w:rFonts w:ascii="Georgia" w:cs="Georgia" w:eastAsia="Georgia" w:hAnsi="Georgia"/>
          <w:b w:val="false"/>
          <w:bCs w:val="false"/>
          <w:i w:val="false"/>
          <w:iCs w:val="false"/>
          <w:color w:val="000000"/>
          <w:sz w:val="24"/>
          <w:szCs w:val="24"/>
        </w:rPr>
        <w:t xml:space="preserve">This is the first confirmation: the unity constraint applies to a software retrieval pipeline without modification, without domain knowledge, and without requiring the observer to understand the difference between query volume and hectares or grams.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T4 — Concentration (PROOF Line)</w:t>
      </w:r>
    </w:p>
    <w:p>
      <w:pPr>
        <w:spacing w:before="0" w:after="160" w:line="276"/>
        <w:jc w:val="both"/>
      </w:pPr>
      <w:r>
        <w:rPr>
          <w:rFonts w:ascii="Georgia" w:cs="Georgia" w:eastAsia="Georgia" w:hAnsi="Georgia"/>
          <w:b w:val="false"/>
          <w:bCs w:val="false"/>
          <w:i w:val="false"/>
          <w:iCs w:val="false"/>
          <w:color w:val="000000"/>
          <w:sz w:val="24"/>
          <w:szCs w:val="24"/>
        </w:rPr>
        <w:t xml:space="preserve">Ranked by observed share:</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General documentation  ███████████████████░░░░░░░░░░░░░░░░░░░ 50.0%</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Technical specs        ███████████░░░░░░░░░░░░░░░░░░░░░░░░░░░ 30.0%</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Domain specialist(HUF) █████░░░░░░░░░░░░░░░░░░░░░░░░░░░░░░░░░ 13.0%</w:t>
      </w:r>
    </w:p>
    <w:p>
      <w:pPr>
        <w:spacing w:before="0" w:after="80" w:line="276"/>
        <w:ind w:left="360"/>
        <w:jc w:val="both"/>
      </w:pPr>
      <w:r>
        <w:rPr>
          <w:rFonts w:ascii="Courier New" w:cs="Courier New" w:eastAsia="Courier New" w:hAnsi="Courier New"/>
          <w:b w:val="false"/>
          <w:bCs w:val="false"/>
          <w:i w:val="false"/>
          <w:iCs w:val="false"/>
          <w:color w:val="000000"/>
          <w:sz w:val="24"/>
          <w:szCs w:val="24"/>
        </w:rPr>
        <w:t xml:space="preserve">Archive / legacy       ███░░░░░░░░░░░░░░░░░░░░░░░░░░░░░░░░░░░  7.0%</w:t>
      </w:r>
    </w:p>
    <w:p>
      <w:pPr>
        <w:spacing w:before="0" w:after="160" w:line="276"/>
        <w:jc w:val="both"/>
      </w:pPr>
      <w:r>
        <w:rPr>
          <w:rFonts w:ascii="Georgia" w:cs="Georgia" w:eastAsia="Georgia" w:hAnsi="Georgia"/>
          <w:b w:val="false"/>
          <w:bCs w:val="false"/>
          <w:i w:val="false"/>
          <w:iCs w:val="false"/>
          <w:color w:val="000000"/>
          <w:sz w:val="24"/>
          <w:szCs w:val="24"/>
        </w:rPr>
        <w:t xml:space="preserve">PROOF line = 2. General documentation and Technical specifications together account for 80.0% of total retrieval volume.</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PROOF line = 2 in all three systems. System A: top-2 = 98.4%. System B: top-2 = 80.0%. System C: top-2 = 80.0%. The concentration signature is structurally identical across three unrelated domains.</w:t>
      </w:r>
    </w:p>
    <w:p>
      <w:pPr>
        <w:spacing w:before="0" w:after="160" w:line="276"/>
        <w:jc w:val="both"/>
      </w:pPr>
      <w:r>
        <w:rPr>
          <w:rFonts w:ascii="Georgia" w:cs="Georgia" w:eastAsia="Georgia" w:hAnsi="Georgia"/>
          <w:b w:val="false"/>
          <w:bCs w:val="false"/>
          <w:i w:val="false"/>
          <w:iCs w:val="false"/>
          <w:color w:val="000000"/>
          <w:sz w:val="24"/>
          <w:szCs w:val="24"/>
        </w:rPr>
        <w:t xml:space="preserve">The question this raises for System C: is the 80% top-2 concentration declared or undeclared? Technical specifications is exactly at its declared weight (0pp gap) — its share is intentional. General documentation has a 20pp gap — its dominance was not declared. The top-2 concentration is partly intended and partly the product of silent drift toward the most accessible namespace.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T5 — Reciprocal Sensitivity (Leverage)</w:t>
      </w:r>
    </w:p>
    <w:p>
      <w:pPr>
        <w:spacing w:before="0" w:after="160" w:line="276"/>
        <w:jc w:val="both"/>
      </w:pPr>
      <w:r>
        <w:rPr>
          <w:rFonts w:ascii="Georgia" w:cs="Georgia" w:eastAsia="Georgia" w:hAnsi="Georgia"/>
          <w:b w:val="false"/>
          <w:bCs w:val="false"/>
          <w:i w:val="false"/>
          <w:iCs w:val="false"/>
          <w:color w:val="000000"/>
          <w:sz w:val="24"/>
          <w:szCs w:val="24"/>
        </w:rPr>
        <w:t xml:space="preserve">The leverage table shows governance sensitivity — how much impact the removal or defunding of each namespace would have relative to its current share.</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40"/>
        <w:gridCol w:w="800"/>
        <w:gridCol w:w="3120"/>
      </w:tblGrid>
      <w:tr>
        <w:trPr>
          <w:tblHeader/>
        </w:trPr>
        <w:tc>
          <w:tcPr>
            <w:tcW w:type="dxa" w:w="24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Namespace</w:t>
            </w:r>
          </w:p>
        </w:tc>
        <w:tc>
          <w:tcPr>
            <w:tcW w:type="dxa" w:w="1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Share (ρ)</w:t>
            </w:r>
          </w:p>
        </w:tc>
        <w:tc>
          <w:tcPr>
            <w:tcW w:type="dxa" w:w="144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Leverage (1/ρ)</w:t>
            </w:r>
          </w:p>
        </w:tc>
        <w:tc>
          <w:tcPr>
            <w:tcW w:type="dxa" w:w="8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Flag</w:t>
            </w:r>
          </w:p>
        </w:tc>
        <w:tc>
          <w:tcPr>
            <w:tcW w:type="dxa" w:w="31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Governance implication</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documentation</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0.5000  (50.0%)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2.00</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 visibility, high resilience — tolerates reduction without governance risk</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Technical specifications</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3.33</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At declared weight — stable, no action required</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 specialist (HUF)</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0.1300  (13.0%)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7.69</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Below declared weight — monitor; 35pp below intended allocation</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0.0700  (7.0%)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14.29</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Medium</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ORPHAN RISK — at 35% of declared weight; see T8</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archive namespace has a leverage of 14.29 — the system is 14.3 times more sensitive to changes in the archive allocation than to changes in general documentation. At 7% observed share against a declared weight of 20%, the archive is receiving 35% of its intended resourcing. This is the System C expression of the high-leverage tail element pattern seen in yeast (leverage 833) and Crna Mlaka (leverage 149).</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The smallest-share element carries the highest governance leverage in all three systems. The structure is identical across domains: leverage is inversely proportional to share, and the tail element is the one most vulnerable to governance decisions made from share data alone.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T8 — Ground State Assessment (Mean Drift Gap)</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Metric</w:t>
            </w:r>
          </w:p>
        </w:tc>
        <w:tc>
          <w:tcPr>
            <w:tcW w:type="dxa" w:w="2187"/>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A — Sourdough</w:t>
            </w:r>
          </w:p>
        </w:tc>
        <w:tc>
          <w:tcPr>
            <w:tcW w:type="dxa" w:w="2187"/>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B — Croatia Ramsar</w:t>
            </w:r>
          </w:p>
        </w:tc>
        <w:tc>
          <w:tcPr>
            <w:tcW w:type="dxa" w:w="2186"/>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C — Retrieval Pipeline</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10.0pp</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 Status</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ACTIVE DRIFT</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Worst single-element gap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0.08pp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7.3pp</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docs: 20.0pp</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Orphan risk</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None</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 monitor</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 — ⚠ ORPHAN RISK</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880000"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ACTIVE DRIFT: mean drift gap 10.0pp exceeds the 5pp intervention threshold. The portfolio is not at ground state. Archive / legacy is at 35% of declared weight — below the 50% orphan alert threshold. Classification: ORPHAN RISK. Action window: open. Operator response required before next cycle.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Element-level drift breakdown:</w:t>
      </w:r>
    </w:p>
    <w:p>
      <w:pPr>
        <w:spacing w:before="0" w:after="80" w:line="276"/>
        <w:ind w:left="360"/>
        <w:jc w:val="both"/>
      </w:pPr>
      <w:r>
        <w:rPr>
          <w:rFonts w:ascii="Georgia" w:cs="Georgia" w:eastAsia="Georgia" w:hAnsi="Georgia"/>
          <w:b/>
          <w:bCs/>
          <w:i w:val="false"/>
          <w:iCs w:val="false"/>
          <w:color w:val="000000"/>
          <w:sz w:val="24"/>
          <w:szCs w:val="24"/>
        </w:rPr>
        <w:t xml:space="preserve">General documentation:  </w:t>
      </w:r>
      <w:r>
        <w:rPr>
          <w:rFonts w:ascii="Georgia" w:cs="Georgia" w:eastAsia="Georgia" w:hAnsi="Georgia"/>
          <w:b w:val="false"/>
          <w:bCs w:val="false"/>
          <w:i w:val="false"/>
          <w:iCs w:val="false"/>
          <w:color w:val="000000"/>
          <w:sz w:val="24"/>
          <w:szCs w:val="24"/>
        </w:rPr>
        <w:t xml:space="preserve">declared 30.0%, observed 50.0% — gap 20.0pp. The most-used namespace is consuming 20pp more than its declared allocation. This is administrative gravity operating without a governance decision. Silent drift toward the dominant element.</w:t>
      </w:r>
    </w:p>
    <w:p>
      <w:pPr>
        <w:spacing w:before="0" w:after="80" w:line="276"/>
        <w:ind w:left="360"/>
        <w:jc w:val="both"/>
      </w:pPr>
      <w:r>
        <w:rPr>
          <w:rFonts w:ascii="Georgia" w:cs="Georgia" w:eastAsia="Georgia" w:hAnsi="Georgia"/>
          <w:b/>
          <w:bCs/>
          <w:i w:val="false"/>
          <w:iCs w:val="false"/>
          <w:color w:val="000000"/>
          <w:sz w:val="24"/>
          <w:szCs w:val="24"/>
        </w:rPr>
        <w:t xml:space="preserve">Technical specifications:  </w:t>
      </w:r>
      <w:r>
        <w:rPr>
          <w:rFonts w:ascii="Georgia" w:cs="Georgia" w:eastAsia="Georgia" w:hAnsi="Georgia"/>
          <w:b w:val="false"/>
          <w:bCs w:val="false"/>
          <w:i w:val="false"/>
          <w:iCs w:val="false"/>
          <w:color w:val="000000"/>
          <w:sz w:val="24"/>
          <w:szCs w:val="24"/>
        </w:rPr>
        <w:t xml:space="preserve">declared 30.0%, observed 30.0% — gap 0.0pp. Exactly at declared weight. This namespace is the system's ground state reference — it is performing as intended.</w:t>
      </w:r>
    </w:p>
    <w:p>
      <w:pPr>
        <w:spacing w:before="0" w:after="80" w:line="276"/>
        <w:ind w:left="360"/>
        <w:jc w:val="both"/>
      </w:pPr>
      <w:r>
        <w:rPr>
          <w:rFonts w:ascii="Georgia" w:cs="Georgia" w:eastAsia="Georgia" w:hAnsi="Georgia"/>
          <w:b/>
          <w:bCs/>
          <w:i w:val="false"/>
          <w:iCs w:val="false"/>
          <w:color w:val="000000"/>
          <w:sz w:val="24"/>
          <w:szCs w:val="24"/>
        </w:rPr>
        <w:t xml:space="preserve">Domain specialist (HUF):  </w:t>
      </w:r>
      <w:r>
        <w:rPr>
          <w:rFonts w:ascii="Georgia" w:cs="Georgia" w:eastAsia="Georgia" w:hAnsi="Georgia"/>
          <w:b w:val="false"/>
          <w:bCs w:val="false"/>
          <w:i w:val="false"/>
          <w:iCs w:val="false"/>
          <w:color w:val="000000"/>
          <w:sz w:val="24"/>
          <w:szCs w:val="24"/>
        </w:rPr>
        <w:t xml:space="preserve">declared 20.0%, observed 13.0% — gap 7.0pp. At 65% of declared weight. The specialist namespace is being underserved relative to declared intent. This is the pattern seen in Crna Mlaka (Croatian wetland portfolio) — high specific value, low observed share, narrow characteristic window.</w:t>
      </w:r>
    </w:p>
    <w:p>
      <w:pPr>
        <w:spacing w:before="0" w:after="80" w:line="276"/>
        <w:ind w:left="360"/>
        <w:jc w:val="both"/>
      </w:pPr>
      <w:r>
        <w:rPr>
          <w:rFonts w:ascii="Georgia" w:cs="Georgia" w:eastAsia="Georgia" w:hAnsi="Georgia"/>
          <w:b/>
          <w:bCs/>
          <w:i w:val="false"/>
          <w:iCs w:val="false"/>
          <w:color w:val="000000"/>
          <w:sz w:val="24"/>
          <w:szCs w:val="24"/>
        </w:rPr>
        <w:t xml:space="preserve">Archive / legacy:  </w:t>
      </w:r>
      <w:r>
        <w:rPr>
          <w:rFonts w:ascii="Georgia" w:cs="Georgia" w:eastAsia="Georgia" w:hAnsi="Georgia"/>
          <w:b w:val="false"/>
          <w:bCs w:val="false"/>
          <w:i w:val="false"/>
          <w:iCs w:val="false"/>
          <w:color w:val="000000"/>
          <w:sz w:val="24"/>
          <w:szCs w:val="24"/>
        </w:rPr>
        <w:t xml:space="preserve">declared 20.0%, observed 7.0% — gap 13.0pp. At 35% of declared weight. Orphan risk. The archive namespace is the highest-Q element in the system — it holds content whose value is not expressed in routine query frequency but spikes when needed for research, compliance, or deep-reference work. Its low observed share does not mean low importance; it means its contribution window is narrow. Defunding it based on the 7% observed share would be the snapshot error operating in a software domain.</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3: The Structural Signature</w:t>
      </w:r>
    </w:p>
    <w:p>
      <w:pPr>
        <w:pStyle w:val="Heading2"/>
        <w:spacing w:before="300" w:after="120"/>
      </w:pPr>
      <w:r>
        <w:rPr>
          <w:rFonts w:ascii="Arial" w:cs="Arial" w:eastAsia="Arial" w:hAnsi="Arial"/>
          <w:b/>
          <w:bCs/>
          <w:i w:val="false"/>
          <w:iCs w:val="false"/>
          <w:color w:val="333333"/>
          <w:sz w:val="28"/>
          <w:szCs w:val="28"/>
        </w:rPr>
        <w:t xml:space="preserve">What Three Domains Produce</w:t>
      </w:r>
    </w:p>
    <w:p>
      <w:pPr>
        <w:spacing w:before="0" w:after="160" w:line="276"/>
        <w:jc w:val="both"/>
      </w:pPr>
      <w:r>
        <w:rPr>
          <w:rFonts w:ascii="Georgia" w:cs="Georgia" w:eastAsia="Georgia" w:hAnsi="Georgia"/>
          <w:b w:val="false"/>
          <w:bCs w:val="false"/>
          <w:i w:val="false"/>
          <w:iCs w:val="false"/>
          <w:color w:val="000000"/>
          <w:sz w:val="24"/>
          <w:szCs w:val="24"/>
        </w:rPr>
        <w:t xml:space="preserve">The structural signature that defines the HUF diagnostic pattern — top-heavy concentration at the PROOF line, tail-element leverage extremes, silent drift away from specialist and archival content — appears in all three domains.</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Diagnostic metric</w:t>
            </w:r>
          </w:p>
        </w:tc>
        <w:tc>
          <w:tcPr>
            <w:tcW w:type="dxa" w:w="2253"/>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A — Sourdough</w:t>
            </w:r>
          </w:p>
        </w:tc>
        <w:tc>
          <w:tcPr>
            <w:tcW w:type="dxa" w:w="2253"/>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B — Croatia Ramsar</w:t>
            </w:r>
          </w:p>
        </w:tc>
        <w:tc>
          <w:tcPr>
            <w:tcW w:type="dxa" w:w="2254"/>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C — Retrieval Pipeline</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Unity constant (Σρ)</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PROOF line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Top-2 combined share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98.4%</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Top-2 elements</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 Water</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 Kopački</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 Technical</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(0.12%)</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(0.67%)</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 (7.0%)</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leverage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833</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149</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14.29</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Q character</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High-Q: narrow fermentation window</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High-Q: endemic species cycle</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Medium-Q: research / compliance spikes</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10.0pp</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ACTIVE DRIFT</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Primary failure mode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None — near 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FM-3 snapshot risk (Crna Mlaka)</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FM-1 silent reweighting (General docs)
FM-6 orphan risk (Archive)</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Budget unit</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Grams</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Hectares</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Query volume (normalised)</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Characteristic cycle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Hours (fermentation)</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Years (ecological)</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Days–weeks (query patterns)</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Food system</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Conservation governance</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Software retrieval</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three domains share no material properties. The sourdough loaf is measured in grams over hours. The Croatian wetland portfolio is measured in hectares over years. The retrieval pipeline is measured in query volume over days to weeks. They have different governance structures, different operators, different institutional contexts, and different failure consequences.</w:t>
      </w:r>
    </w:p>
    <w:p>
      <w:pPr>
        <w:spacing w:before="0" w:after="160" w:line="276"/>
        <w:jc w:val="both"/>
      </w:pPr>
      <w:r>
        <w:rPr>
          <w:rFonts w:ascii="Georgia" w:cs="Georgia" w:eastAsia="Georgia" w:hAnsi="Georgia"/>
          <w:b w:val="false"/>
          <w:bCs w:val="false"/>
          <w:i w:val="false"/>
          <w:iCs w:val="false"/>
          <w:color w:val="000000"/>
          <w:sz w:val="24"/>
          <w:szCs w:val="24"/>
        </w:rPr>
        <w:t xml:space="preserve">They share one thing: they are each finite-budget systems in which elements hold proportional shares that sum to 1.0. That is sufficient for the unity constraint to apply. When it applies, it produces the same structural signature — top-heavy concentration, high-leverage tail elements, detectable silent drift — without modification, without domain knowledge, and without a new instrument.</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CONFIRMATION OF PROPOSITION 7.1: The HUF Diagnostic Engine applied Tests T1, T4, T5, and T8 to three systems with no domain overlap and produced coherent, comparable, formally structured results using the same instrument without modification. The unity constraint is domain-invariant. This is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The New Finding: Active Drift in System C</w:t>
      </w:r>
    </w:p>
    <w:p>
      <w:pPr>
        <w:spacing w:before="0" w:after="160" w:line="276"/>
        <w:jc w:val="both"/>
      </w:pPr>
      <w:r>
        <w:rPr>
          <w:rFonts w:ascii="Georgia" w:cs="Georgia" w:eastAsia="Georgia" w:hAnsi="Georgia"/>
          <w:b w:val="false"/>
          <w:bCs w:val="false"/>
          <w:i w:val="false"/>
          <w:iCs w:val="false"/>
          <w:color w:val="000000"/>
          <w:sz w:val="24"/>
          <w:szCs w:val="24"/>
        </w:rPr>
        <w:t xml:space="preserve">System C produces the highest mean drift gap of the three systems at 10.0pp — nearly double System B and seven times System A. This is not a failure of the instrument. It is the instrument working.</w:t>
      </w:r>
    </w:p>
    <w:p>
      <w:pPr>
        <w:spacing w:before="0" w:after="160" w:line="276"/>
        <w:jc w:val="both"/>
      </w:pPr>
      <w:r>
        <w:rPr>
          <w:rFonts w:ascii="Georgia" w:cs="Georgia" w:eastAsia="Georgia" w:hAnsi="Georgia"/>
          <w:b w:val="false"/>
          <w:bCs w:val="false"/>
          <w:i w:val="false"/>
          <w:iCs w:val="false"/>
          <w:color w:val="000000"/>
          <w:sz w:val="24"/>
          <w:szCs w:val="24"/>
        </w:rPr>
        <w:t xml:space="preserve">The finding is structurally important for the research record: the first time this operator formally declared their intended namespace allocation, the diagnostic immediately revealed a 20pp silent drift toward the dominant namespace, a 13pp silent drift away from the archive, and an orphan risk flag on the highest-leverage element. None of this was visible before the declaration was made, because there was no declared reference to compare against.</w:t>
      </w:r>
    </w:p>
    <w:p>
      <w:pPr>
        <w:spacing w:before="0" w:after="160" w:line="276"/>
        <w:jc w:val="both"/>
      </w:pPr>
      <w:r>
        <w:rPr>
          <w:rFonts w:ascii="Georgia" w:cs="Georgia" w:eastAsia="Georgia" w:hAnsi="Georgia"/>
          <w:b w:val="false"/>
          <w:bCs w:val="false"/>
          <w:i w:val="false"/>
          <w:iCs w:val="false"/>
          <w:color w:val="000000"/>
          <w:sz w:val="24"/>
          <w:szCs w:val="24"/>
        </w:rPr>
        <w:t xml:space="preserve">This is the governance value of the fourth monitoring category — Composition Monitoring — expressed in a software domain. The system was not being mismanaged. It was being managed without a declared reference. The moment the reference exists, the drift becomes visible and actionable.</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4: Formal HUF Declaration — System C</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80" w:after="60" w:line="276"/>
        <w:ind w:left="360"/>
        <w:jc w:val="both"/>
      </w:pPr>
      <w:r>
        <w:rPr>
          <w:rFonts w:ascii="Courier New" w:cs="Courier New" w:eastAsia="Courier New" w:hAnsi="Courier New"/>
          <w:b/>
          <w:bCs/>
          <w:i w:val="false"/>
          <w:iCs w:val="false"/>
          <w:color w:val="000000"/>
          <w:sz w:val="24"/>
          <w:szCs w:val="24"/>
        </w:rPr>
        <w:t xml:space="preserve">HUF DECLARATION — SYSTEM C — SOFTWARE RETRIEVAL PIPELINE — February 2026</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Budget ceiling        : Total query volume, 30-day observation window (indexed to 1.0)</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Elements              : 4 namespaces</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Observation window    : 30 days (operator-estimated)</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Ratio state           : 0.50 / 0.30 / 0.13 / 0.07</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Declared weights      : 0.30 / 0.30 / 0.20 / 0.20  (declared February 2026 — first declaration cycle)</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Drift                 : Mean gap 10.0pp — ACTIVE DRIFT — intervention required</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Trace status          : FIRST CYCLE — no prior cycle for change log comparison</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Concentration         : PROOF line = 2  (General + Technical = 80.0%)</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Fragmentation         : Archive / legacy at 7.0% — 13.0pp below declared weight</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Ground state          : NOT AT GROUND STATE (MDG 10.0pp)</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Highest-Q element     : Archive / legacy — leverage 14.29 — characteristic period: event-driven</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Orphan risk           : Archive / legacy at 35% of declared weight — ORPHAN RISK — monitor</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Cycles on record      : 1 — cross-cycle comparison available from cycle 2</w:t>
      </w:r>
    </w:p>
    <w:p>
      <w:pPr>
        <w:spacing w:before="0" w:after="80" w:line="276"/>
        <w:ind w:left="360"/>
        <w:jc w:val="both"/>
      </w:pPr>
      <w:r>
        <w:rPr>
          <w:rFonts w:ascii="Courier New" w:cs="Courier New" w:eastAsia="Courier New" w:hAnsi="Courier New"/>
          <w:b w:val="false"/>
          <w:bCs w:val="false"/>
          <w:i w:val="false"/>
          <w:iCs w:val="false"/>
          <w:color w:val="000000"/>
          <w:sz w:val="20"/>
          <w:szCs w:val="20"/>
        </w:rPr>
        <w:t xml:space="preserve">Provenance            : Operator-estimated, 30-day window, February 2026</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5: Conclusion and Research Status</w:t>
      </w:r>
    </w:p>
    <w:p>
      <w:pPr>
        <w:pStyle w:val="Heading2"/>
        <w:spacing w:before="300" w:after="120"/>
      </w:pPr>
      <w:r>
        <w:rPr>
          <w:rFonts w:ascii="Arial" w:cs="Arial" w:eastAsia="Arial" w:hAnsi="Arial"/>
          <w:b/>
          <w:bCs/>
          <w:i w:val="false"/>
          <w:iCs w:val="false"/>
          <w:color w:val="333333"/>
          <w:sz w:val="28"/>
          <w:szCs w:val="28"/>
        </w:rPr>
        <w:t xml:space="preserve">Finding</w:t>
      </w:r>
    </w:p>
    <w:p>
      <w:pPr>
        <w:spacing w:before="0" w:after="160" w:line="276"/>
        <w:jc w:val="both"/>
      </w:pPr>
      <w:r>
        <w:rPr>
          <w:rFonts w:ascii="Georgia" w:cs="Georgia" w:eastAsia="Georgia" w:hAnsi="Georgia"/>
          <w:b w:val="false"/>
          <w:bCs w:val="false"/>
          <w:i w:val="false"/>
          <w:iCs w:val="false"/>
          <w:color w:val="000000"/>
          <w:sz w:val="24"/>
          <w:szCs w:val="24"/>
        </w:rPr>
        <w:t xml:space="preserve">The HUF Diagnostic Engine applied Tests T1, T4, T5, and T8 to three systems with no domain overlap — an artisanal sourdough loaf (grams, hours), the Croatia Ramsar portfolio (hectares, years), and a software retrieval pipeline (query volume, days to weeks) — and produced coherent, comparable, formally structured results using the same instrument without modification.</w:t>
      </w:r>
    </w:p>
    <w:p>
      <w:pPr>
        <w:spacing w:before="0" w:after="160" w:line="276"/>
        <w:jc w:val="both"/>
      </w:pPr>
      <w:r>
        <w:rPr>
          <w:rFonts w:ascii="Georgia" w:cs="Georgia" w:eastAsia="Georgia" w:hAnsi="Georgia"/>
          <w:b w:val="false"/>
          <w:bCs w:val="false"/>
          <w:i w:val="false"/>
          <w:iCs w:val="false"/>
          <w:color w:val="000000"/>
          <w:sz w:val="24"/>
          <w:szCs w:val="24"/>
        </w:rPr>
        <w:t xml:space="preserve">All three systems produced PROOF line = 2. All three exhibited tail-element leverage inversely proportional to share. All three produced a mean drift gap that classified the system's governance state — near ground state, emergent drift, and active drift respectively. All three produced a formal HUF Declaration from their own declared outputs without requiring domain knowledge from the instrument.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Status of Proposition 7.1</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Proposition</w:t>
            </w:r>
          </w:p>
        </w:tc>
        <w:tc>
          <w:tcPr>
            <w:tcW w:type="dxa" w:w="32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Status</w:t>
            </w:r>
          </w:p>
        </w:tc>
        <w:tc>
          <w:tcPr>
            <w:tcW w:type="dxa" w:w="29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Basis</w:t>
            </w:r>
          </w:p>
        </w:tc>
      </w:tr>
      <w:tr>
        <w:tc>
          <w:tcPr>
            <w:tcW w:type="dxa" w:w="32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7.1 — Structural Invariance (interpretive)</w:t>
            </w:r>
          </w:p>
        </w:tc>
        <w:tc>
          <w:tcPr>
            <w:tcW w:type="dxa" w:w="32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STRONG THREE-DOMAIN EMPIRICAL SUPPORT</w:t>
            </w:r>
          </w:p>
        </w:tc>
        <w:tc>
          <w:tcPr>
            <w:tcW w:type="dxa" w:w="29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Exhibits A and B: three systems, no domain overlap, same instrument, coherent results</w:t>
            </w:r>
          </w:p>
        </w:tc>
      </w:tr>
      <w:tr>
        <w:tc>
          <w:tcPr>
            <w:tcW w:type="dxa" w:w="32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Required for formal proof</w:t>
            </w:r>
          </w:p>
        </w:tc>
        <w:tc>
          <w:tcPr>
            <w:tcW w:type="dxa" w:w="32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Theorem 3.1 already proved formally</w:t>
            </w:r>
          </w:p>
        </w:tc>
        <w:tc>
          <w:tcPr>
            <w:tcW w:type="dxa" w:w="29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See Vol 2 Mathematics Compendium — Exhibit B provides empirical support supplementing the formal proof</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Proposition 7.1 now has the minimum empirical support required for inclusion in the JAES submission. The three-domain confirmation path (Layer 12 of the HUF Taxonomy) is complete.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Governance Action Required — System C</w:t>
      </w:r>
    </w:p>
    <w:p>
      <w:pPr>
        <w:spacing w:before="0" w:after="160" w:line="276"/>
        <w:jc w:val="both"/>
      </w:pPr>
      <w:r>
        <w:rPr>
          <w:rFonts w:ascii="Georgia" w:cs="Georgia" w:eastAsia="Georgia" w:hAnsi="Georgia"/>
          <w:b w:val="false"/>
          <w:bCs w:val="false"/>
          <w:i w:val="false"/>
          <w:iCs w:val="false"/>
          <w:color w:val="000000"/>
          <w:sz w:val="24"/>
          <w:szCs w:val="24"/>
        </w:rPr>
        <w:t xml:space="preserve">Exhibit B is a research document. It is also a live governance finding. The System C diagnosis reveals active drift and an orphan risk that require operator response before the next cycle:</w:t>
      </w:r>
    </w:p>
    <w:p>
      <w:pPr>
        <w:pBdr>
          <w:left w:val="single" w:color="880000"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Archive / legacy at 35% of declared weight (7.0% observed vs 20.0% declared). Classify: is this a silent drift (no decision was made to reduce archive access) or an intentional reweighting (the declared weight of 0.20 was too high and should be revised downward)? Enter the classification in the trace report. If silent drift, correct toward declared weight. If intentional reweighting, update the declared weight and record the rationale.</w:t>
      </w:r>
    </w:p>
    <w:p>
      <w:pPr>
        <w:spacing w:before="0" w:after="160" w:line="276"/>
        <w:jc w:val="both"/>
      </w:pPr>
      <w:r>
        <w:rPr>
          <w:rFonts w:ascii="Georgia" w:cs="Georgia" w:eastAsia="Georgia" w:hAnsi="Georgia"/>
          <w:b w:val="false"/>
          <w:bCs w:val="false"/>
          <w:i w:val="false"/>
          <w:iCs w:val="false"/>
          <w:color w:val="000000"/>
          <w:sz w:val="24"/>
          <w:szCs w:val="24"/>
        </w:rPr>
        <w:t xml:space="preserve">General documentation at 167% of declared weight: query gravity is pulling retrieval toward the most accessible namespace without a governance decision. This is FM-1 (silent reweighting) operating in a software domain. The correction is not to reduce general documentation — it is to either raise its declared weight to match observed usage, or to actively route queries toward under-served namespaces.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Next Research Step</w:t>
      </w:r>
    </w:p>
    <w:p>
      <w:pPr>
        <w:spacing w:before="0" w:after="160" w:line="276"/>
        <w:jc w:val="both"/>
      </w:pPr>
      <w:r>
        <w:rPr>
          <w:rFonts w:ascii="Georgia" w:cs="Georgia" w:eastAsia="Georgia" w:hAnsi="Georgia"/>
          <w:b w:val="false"/>
          <w:bCs w:val="false"/>
          <w:i w:val="false"/>
          <w:iCs w:val="false"/>
          <w:color w:val="000000"/>
          <w:sz w:val="24"/>
          <w:szCs w:val="24"/>
        </w:rPr>
        <w:t xml:space="preserve">Case Study D.3 would extend the comparison to a fourth domain — supply chain procurement portfolio or municipal civic budget. However, three-domain confirmation with no structural overlap is sufficient for the JAES empirical support section. D.3 strengthens the claim further but is not required before submission.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With Exhibit B complete, the following are now unblocked:</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JAES paper formal sections can begin drafting (Sections 1–4 from Vol 2 Compendium, empirical section from Exhibits A and B)</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Three-domain confirmation claim can appear in the JAES abstract</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Layer 12 of the HUF Taxonomy is complete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200" w:after="40" w:line="276"/>
        <w:jc w:val="center"/>
      </w:pPr>
      <w:r>
        <w:rPr>
          <w:rFonts w:ascii="Georgia" w:cs="Georgia" w:eastAsia="Georgia" w:hAnsi="Georgia"/>
          <w:b w:val="false"/>
          <w:bCs w:val="false"/>
          <w:i/>
          <w:iCs/>
          <w:color w:val="666666"/>
          <w:sz w:val="20"/>
          <w:szCs w:val="20"/>
        </w:rPr>
        <w:t xml:space="preserve">Entry added to Research Appendix D · Handbook v1.2.0 · Ref: Exhibit B</w:t>
      </w:r>
    </w:p>
    <w:p>
      <w:pPr>
        <w:spacing w:before="0" w:after="40" w:line="276"/>
        <w:jc w:val="center"/>
      </w:pPr>
      <w:r>
        <w:rPr>
          <w:rFonts w:ascii="Georgia" w:cs="Georgia" w:eastAsia="Georgia" w:hAnsi="Georgia"/>
          <w:b w:val="false"/>
          <w:bCs w:val="false"/>
          <w:i/>
          <w:iCs/>
          <w:color w:val="888888"/>
          <w:sz w:val="20"/>
          <w:szCs w:val="20"/>
        </w:rPr>
        <w:t xml:space="preserve">Data provided by operator, February 2026 · Diagnostics: Claude (HUF collective)</w:t>
      </w:r>
    </w:p>
    <w:p>
      <w:pPr>
        <w:spacing w:before="0" w:after="160" w:line="276"/>
        <w:jc w:val="center"/>
      </w:pPr>
      <w:r>
        <w:rPr>
          <w:rFonts w:ascii="Georgia" w:cs="Georgia" w:eastAsia="Georgia" w:hAnsi="Georgia"/>
          <w:b w:val="false"/>
          <w:bCs w:val="false"/>
          <w:i w:val="false"/>
          <w:iCs w:val="false"/>
          <w:color w:val="888888"/>
          <w:sz w:val="20"/>
          <w:szCs w:val="20"/>
        </w:rPr>
        <w:t xml:space="preserve">Higgins Unity Framework · MIT License · Rogue Wave Audio · Markham, Ontario</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Case Study D.2 — Exhibit B · Software Retrieval Pipeline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60" w:line="276"/>
      <w:jc w:val="both"/>
    </w:pPr>
    <w:r>
      <w:rPr>
        <w:rFonts w:ascii="Arial" w:cs="Arial" w:eastAsia="Arial" w:hAnsi="Arial"/>
        <w:b w:val="false"/>
        <w:bCs w:val="false"/>
        <w:i w:val="false"/>
        <w:iCs w:val="false"/>
        <w:color w:val="888888"/>
        <w:sz w:val="18"/>
        <w:szCs w:val="18"/>
      </w:rPr>
      <w:t xml:space="preserve">HUF APPENDIX D · CASE STUDY D.2 · EXHIBIT B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2026-02-27T04:29:31.287Z</dcterms:created>
  <dcterms:modified xsi:type="dcterms:W3CDTF">2026-02-27T04:29:31.288Z</dcterms:modified>
</cp:coreProperties>
</file>

<file path=docProps/custom.xml><?xml version="1.0" encoding="utf-8"?>
<Properties xmlns="http://schemas.openxmlformats.org/officeDocument/2006/custom-properties" xmlns:vt="http://schemas.openxmlformats.org/officeDocument/2006/docPropsVTypes"/>
</file>