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p>
    <w:p>
      <w:pPr>
        <w:spacing w:after="80"/>
        <w:jc w:val="center"/>
      </w:pPr>
      <w:r>
        <w:rPr>
          <w:rFonts w:ascii="Arial" w:cs="Arial" w:eastAsia="Arial" w:hAnsi="Arial"/>
          <w:b/>
          <w:bCs/>
          <w:color w:val="1B3A5C"/>
          <w:sz w:val="40"/>
          <w:szCs w:val="40"/>
        </w:rPr>
        <w:t xml:space="preserve">ISO POSITIONING DOCUMENT</w:t>
      </w:r>
    </w:p>
    <w:p>
      <w:pPr>
        <w:spacing w:after="40"/>
        <w:jc w:val="center"/>
      </w:pPr>
      <w:r>
        <w:rPr>
          <w:rFonts w:ascii="Arial" w:cs="Arial" w:eastAsia="Arial" w:hAnsi="Arial"/>
          <w:color w:val="2E5090"/>
          <w:sz w:val="32"/>
          <w:szCs w:val="32"/>
        </w:rPr>
        <w:t xml:space="preserve">MC-4: Composition Monitoring</w:t>
      </w:r>
    </w:p>
    <w:p>
      <w:pPr>
        <w:spacing w:after="40"/>
        <w:jc w:val="center"/>
      </w:pPr>
      <w:r>
        <w:rPr>
          <w:rFonts w:ascii="Arial" w:cs="Arial" w:eastAsia="Arial" w:hAnsi="Arial"/>
          <w:i/>
          <w:iCs/>
          <w:color w:val="3C78B5"/>
          <w:sz w:val="26"/>
          <w:szCs w:val="26"/>
        </w:rPr>
        <w:t xml:space="preserve">The Fourth Monitoring Category</w:t>
      </w:r>
    </w:p>
    <w:p>
      <w:pPr>
        <w:spacing w:after="60" w:before="60"/>
      </w:pPr>
    </w:p>
    <w:p>
      <w:pPr>
        <w:pBdr>
          <w:top w:val="single" w:color="1B3A5C" w:sz="2" w:space="1"/>
          <w:bottom w:val="single" w:color="1B3A5C" w:sz="2" w:space="1"/>
        </w:pBdr>
        <w:spacing w:after="120" w:before="120"/>
        <w:jc w:val="center"/>
      </w:pPr>
      <w:r>
        <w:rPr>
          <w:rFonts w:ascii="Arial" w:cs="Arial" w:eastAsia="Arial" w:hAnsi="Arial"/>
          <w:color w:val="2E5090"/>
          <w:sz w:val="22"/>
          <w:szCs w:val="22"/>
        </w:rPr>
        <w:t xml:space="preserve">Where MC-4 Fits in the International Standards Landscape</w:t>
      </w:r>
    </w:p>
    <w:p>
      <w:pPr>
        <w:spacing w:after="40" w:before="120"/>
        <w:jc w:val="center"/>
      </w:pPr>
      <w:r>
        <w:rPr>
          <w:rFonts w:ascii="Arial" w:cs="Arial" w:eastAsia="Arial" w:hAnsi="Arial"/>
          <w:color w:val="2E5090"/>
          <w:sz w:val="22"/>
          <w:szCs w:val="22"/>
        </w:rPr>
        <w:t xml:space="preserve">And What the CoDa Community’s Role Would Be in Formalizing It</w:t>
      </w:r>
    </w:p>
    <w:p>
      <w:pPr>
        <w:spacing w:after="200" w:before="200"/>
      </w:pPr>
    </w:p>
    <w:p>
      <w:pPr>
        <w:jc w:val="center"/>
      </w:pPr>
      <w:r>
        <w:rPr>
          <w:rFonts w:ascii="Arial" w:cs="Arial" w:eastAsia="Arial" w:hAnsi="Arial"/>
          <w:b/>
          <w:bCs/>
          <w:color w:val="333333"/>
          <w:sz w:val="24"/>
          <w:szCs w:val="24"/>
        </w:rPr>
        <w:t xml:space="preserve">Peter Higgins</w:t>
      </w:r>
    </w:p>
    <w:p>
      <w:pPr>
        <w:jc w:val="center"/>
      </w:pPr>
      <w:r>
        <w:rPr>
          <w:rFonts w:ascii="Arial" w:cs="Arial" w:eastAsia="Arial" w:hAnsi="Arial"/>
          <w:color w:val="666666"/>
          <w:sz w:val="20"/>
          <w:szCs w:val="20"/>
        </w:rPr>
        <w:t xml:space="preserve">Higgins Unity Framework</w:t>
      </w:r>
    </w:p>
    <w:p>
      <w:pPr>
        <w:spacing w:after="40"/>
        <w:jc w:val="center"/>
      </w:pPr>
      <w:r>
        <w:rPr>
          <w:rFonts w:ascii="Arial" w:cs="Arial" w:eastAsia="Arial" w:hAnsi="Arial"/>
          <w:color w:val="666666"/>
          <w:sz w:val="20"/>
          <w:szCs w:val="20"/>
        </w:rPr>
        <w:t xml:space="preserve">April 2026</w:t>
      </w:r>
    </w:p>
    <w:p>
      <w:pPr>
        <w:spacing w:after="300" w:before="300"/>
      </w:pPr>
    </w:p>
    <w:p>
      <w:pPr>
        <w:jc w:val="center"/>
      </w:pPr>
      <w:r>
        <w:rPr>
          <w:rFonts w:ascii="Arial" w:cs="Arial" w:eastAsia="Arial" w:hAnsi="Arial"/>
          <w:i/>
          <w:iCs/>
          <w:color w:val="666666"/>
          <w:sz w:val="20"/>
          <w:szCs w:val="20"/>
        </w:rPr>
        <w:t xml:space="preserve">Prepared for: CoDaWork 2026, Coimbra</w:t>
      </w:r>
    </w:p>
    <w:p>
      <w:pPr>
        <w:jc w:val="center"/>
      </w:pPr>
      <w:r>
        <w:rPr>
          <w:rFonts w:ascii="Arial" w:cs="Arial" w:eastAsia="Arial" w:hAnsi="Arial"/>
          <w:i/>
          <w:iCs/>
          <w:color w:val="666666"/>
          <w:sz w:val="20"/>
          <w:szCs w:val="20"/>
        </w:rPr>
        <w:t xml:space="preserve">Target audiences: ISO/TC 69, Ramsar Secretariat, CoDa research community</w:t>
      </w:r>
    </w:p>
    <w:p>
      <w:r>
        <w:br w:type="page"/>
      </w:r>
    </w:p>
    <w:p>
      <w:pPr>
        <w:pStyle w:val="Heading1"/>
      </w:pPr>
      <w:r>
        <w:t xml:space="preserve">1. Executive Summary</w:t>
      </w:r>
    </w:p>
    <w:p>
      <w:pPr>
        <w:spacing w:after="60" w:before="60" w:line="276"/>
      </w:pPr>
      <w:r>
        <w:rPr>
          <w:rFonts w:ascii="Arial" w:cs="Arial" w:eastAsia="Arial" w:hAnsi="Arial"/>
          <w:color w:val="333333"/>
          <w:sz w:val="21"/>
          <w:szCs w:val="21"/>
        </w:rPr>
        <w:t xml:space="preserve">Three monitoring categories are well-served by international standards: </w:t>
      </w:r>
      <w:r>
        <w:rPr>
          <w:rFonts w:ascii="Arial" w:cs="Arial" w:eastAsia="Arial" w:hAnsi="Arial"/>
          <w:b/>
          <w:bCs/>
          <w:color w:val="333333"/>
          <w:sz w:val="21"/>
          <w:szCs w:val="21"/>
        </w:rPr>
        <w:t xml:space="preserve">magnitude</w:t>
      </w:r>
      <w:r>
        <w:rPr>
          <w:rFonts w:ascii="Arial" w:cs="Arial" w:eastAsia="Arial" w:hAnsi="Arial"/>
          <w:color w:val="333333"/>
          <w:sz w:val="21"/>
          <w:szCs w:val="21"/>
        </w:rPr>
        <w:t xml:space="preserve"> (ISO 17025 — calibration and measurement), </w:t>
      </w:r>
      <w:r>
        <w:rPr>
          <w:rFonts w:ascii="Arial" w:cs="Arial" w:eastAsia="Arial" w:hAnsi="Arial"/>
          <w:b/>
          <w:bCs/>
          <w:color w:val="333333"/>
          <w:sz w:val="21"/>
          <w:szCs w:val="21"/>
        </w:rPr>
        <w:t xml:space="preserve">identity</w:t>
      </w:r>
      <w:r>
        <w:rPr>
          <w:rFonts w:ascii="Arial" w:cs="Arial" w:eastAsia="Arial" w:hAnsi="Arial"/>
          <w:color w:val="333333"/>
          <w:sz w:val="21"/>
          <w:szCs w:val="21"/>
        </w:rPr>
        <w:t xml:space="preserve"> (ISO 22400 — classification and KPI definition), and </w:t>
      </w:r>
      <w:r>
        <w:rPr>
          <w:rFonts w:ascii="Arial" w:cs="Arial" w:eastAsia="Arial" w:hAnsi="Arial"/>
          <w:b/>
          <w:bCs/>
          <w:color w:val="333333"/>
          <w:sz w:val="21"/>
          <w:szCs w:val="21"/>
        </w:rPr>
        <w:t xml:space="preserve">trend</w:t>
      </w:r>
      <w:r>
        <w:rPr>
          <w:rFonts w:ascii="Arial" w:cs="Arial" w:eastAsia="Arial" w:hAnsi="Arial"/>
          <w:color w:val="333333"/>
          <w:sz w:val="21"/>
          <w:szCs w:val="21"/>
        </w:rPr>
        <w:t xml:space="preserve"> (ISO 7870/7966 — control charts and statistical process control). A fourth category — </w:t>
      </w:r>
      <w:r>
        <w:rPr>
          <w:rFonts w:ascii="Arial" w:cs="Arial" w:eastAsia="Arial" w:hAnsi="Arial"/>
          <w:b/>
          <w:bCs/>
          <w:color w:val="333333"/>
          <w:sz w:val="21"/>
          <w:szCs w:val="21"/>
        </w:rPr>
        <w:t xml:space="preserve">composition</w:t>
      </w:r>
      <w:r>
        <w:rPr>
          <w:rFonts w:ascii="Arial" w:cs="Arial" w:eastAsia="Arial" w:hAnsi="Arial"/>
          <w:color w:val="333333"/>
          <w:sz w:val="21"/>
          <w:szCs w:val="21"/>
        </w:rPr>
        <w:t xml:space="preserve"> — has no ISO home. No standard addresses the monitoring of proportional balance among parts of a system: the internal structure that determines whether a portfolio is diversified, an ecosystem is resilient, or an energy grid is transitioning safely.</w:t>
      </w:r>
    </w:p>
    <w:p>
      <w:pPr>
        <w:spacing w:after="60" w:before="60" w:line="276"/>
      </w:pPr>
      <w:r>
        <w:rPr>
          <w:rFonts w:ascii="Arial" w:cs="Arial" w:eastAsia="Arial" w:hAnsi="Arial"/>
          <w:color w:val="333333"/>
          <w:sz w:val="21"/>
          <w:szCs w:val="21"/>
        </w:rPr>
        <w:t xml:space="preserve">MC-4 (Composition Monitoring) is a framework for filling this gap. It is grounded in four decades of Aitchison’s Compositional Data Analysis (CoDa) — the mathematics of constrained, proportional data on the simplex. The CoDa community has built the geometry, the transforms, and the statistical methods. What has been missing is the operational and institutional scaffolding to deploy this mathematics as a formal monitoring standard.</w:t>
      </w:r>
    </w:p>
    <w:p>
      <w:pPr>
        <w:spacing w:after="60" w:before="60" w:line="276"/>
      </w:pPr>
      <w:r>
        <w:rPr>
          <w:rFonts w:ascii="Arial" w:cs="Arial" w:eastAsia="Arial" w:hAnsi="Arial"/>
          <w:color w:val="333333"/>
          <w:sz w:val="21"/>
          <w:szCs w:val="21"/>
        </w:rPr>
        <w:t xml:space="preserve">This document lays out where MC-4 fits in the existing ISO landscape, identifies the technical committees and standards it would interface with, articulates the role of CoDa as the mathematical foundation, and proposes a pathway toward standardization — including the empirical evidence (EITT) that makes the case quantitative.</w:t>
      </w:r>
    </w:p>
    <w:p>
      <w:pPr>
        <w:pStyle w:val="Heading1"/>
      </w:pPr>
      <w:r>
        <w:t xml:space="preserve">2. The Gap in the Standards Landscape</w:t>
      </w:r>
    </w:p>
    <w:p>
      <w:pPr>
        <w:spacing w:after="60" w:before="60" w:line="276"/>
      </w:pPr>
      <w:r>
        <w:rPr>
          <w:rFonts w:ascii="Arial" w:cs="Arial" w:eastAsia="Arial" w:hAnsi="Arial"/>
          <w:color w:val="333333"/>
          <w:sz w:val="21"/>
          <w:szCs w:val="21"/>
        </w:rPr>
        <w:t xml:space="preserve">Every measurement system answers a question. The international standards framework has evolved to cover three fundamental monitoring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1500"/>
        <w:gridCol w:w="1460"/>
      </w:tblGrid>
      <w:tr>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Question</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ISO Standard(s)</w:t>
            </w:r>
          </w:p>
        </w:tc>
        <w:tc>
          <w:tcPr>
            <w:tcW w:type="dxa" w:w="15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TC / SC</w:t>
            </w:r>
          </w:p>
        </w:tc>
        <w:tc>
          <w:tcPr>
            <w:tcW w:type="dxa" w:w="14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MC-1 Magnitude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How much?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ISO 17025, GUM (JCGM 100)</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TC 69 / SC 6</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2D7D46"/>
                <w:sz w:val="19"/>
                <w:szCs w:val="19"/>
              </w:rPr>
              <w:t xml:space="preserve">Mature</w:t>
            </w:r>
          </w:p>
        </w:tc>
      </w:tr>
      <w:tr>
        <w:tc>
          <w:tcPr>
            <w:tcW w:type="dxa" w:w="18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MC-2 Identity</w:t>
            </w:r>
          </w:p>
        </w:tc>
        <w:tc>
          <w:tcPr>
            <w:tcW w:type="dxa" w:w="22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What is it?</w:t>
            </w:r>
          </w:p>
        </w:tc>
        <w:tc>
          <w:tcPr>
            <w:tcW w:type="dxa" w:w="24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ISO 22400, ISO 5725</w:t>
            </w:r>
          </w:p>
        </w:tc>
        <w:tc>
          <w:tcPr>
            <w:tcW w:type="dxa" w:w="15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TC 69 / SC 6</w:t>
            </w:r>
          </w:p>
        </w:tc>
        <w:tc>
          <w:tcPr>
            <w:tcW w:type="dxa" w:w="146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2D7D46"/>
                <w:sz w:val="19"/>
                <w:szCs w:val="19"/>
              </w:rPr>
              <w:t xml:space="preserve">Mature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MC-3 Trend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Which direction?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ISO 7870, ISO 7966, ISO 22514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TC 69 / SC 4</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2D7D46"/>
                <w:sz w:val="19"/>
                <w:szCs w:val="19"/>
              </w:rPr>
              <w:t xml:space="preserve">Mature</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MC-4 Composition</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What is the internal balance?</w:t>
            </w:r>
          </w:p>
        </w:tc>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None</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w:t>
            </w:r>
          </w:p>
        </w:tc>
        <w:tc>
          <w:tcPr>
            <w:tcW w:type="dxa" w:w="14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GAP</w:t>
            </w:r>
          </w:p>
        </w:tc>
      </w:tr>
    </w:tbl>
    <w:p>
      <w:pPr>
        <w:spacing w:after="60" w:before="60"/>
      </w:pPr>
    </w:p>
    <w:p>
      <w:pPr>
        <w:spacing w:after="60" w:before="60" w:line="276"/>
      </w:pPr>
      <w:r>
        <w:rPr>
          <w:rFonts w:ascii="Arial" w:cs="Arial" w:eastAsia="Arial" w:hAnsi="Arial"/>
          <w:color w:val="333333"/>
          <w:sz w:val="21"/>
          <w:szCs w:val="21"/>
        </w:rPr>
        <w:t xml:space="preserve">The absence is not an oversight — it reflects a historical assumption that compositional structure is a derived property, not a primary observable. </w:t>
      </w:r>
      <w:r>
        <w:rPr>
          <w:rFonts w:ascii="Arial" w:cs="Arial" w:eastAsia="Arial" w:hAnsi="Arial"/>
          <w:b/>
          <w:bCs/>
          <w:color w:val="333333"/>
          <w:sz w:val="21"/>
          <w:szCs w:val="21"/>
        </w:rPr>
        <w:t xml:space="preserve">MC-4 challenges this assumption.</w:t>
      </w:r>
      <w:r>
        <w:rPr>
          <w:rFonts w:ascii="Arial" w:cs="Arial" w:eastAsia="Arial" w:hAnsi="Arial"/>
          <w:color w:val="333333"/>
          <w:sz w:val="21"/>
          <w:szCs w:val="21"/>
        </w:rPr>
        <w:t xml:space="preserve"> A system can satisfy MC-1 (all quantities within tolerance), MC-2 (all parts correctly identified), and MC-3 (all trends stable or improving) while its internal proportional balance silently degrades. This is the blind spot that existing standards cannot detect.</w:t>
      </w:r>
    </w:p>
    <w:p>
      <w:pPr>
        <w:pStyle w:val="Heading1"/>
      </w:pPr>
      <w:r>
        <w:t xml:space="preserve">3. What MC-4 Monitors</w:t>
      </w:r>
    </w:p>
    <w:p>
      <w:pPr>
        <w:spacing w:after="60" w:before="60" w:line="276"/>
      </w:pPr>
      <w:r>
        <w:rPr>
          <w:rFonts w:ascii="Arial" w:cs="Arial" w:eastAsia="Arial" w:hAnsi="Arial"/>
          <w:color w:val="333333"/>
          <w:sz w:val="21"/>
          <w:szCs w:val="21"/>
        </w:rPr>
        <w:t xml:space="preserve">MC-4 monitors the proportional structure of systems whose components sum to a whole. Compositions live on the simplex — a bounded, closure-constrained space where standard Euclidean statistics produce systematically wrong answers. The Aitchison geometry (1982) provides the correct mathematical framework for this space.</w:t>
      </w:r>
    </w:p>
    <w:p>
      <w:pPr>
        <w:pStyle w:val="Heading2"/>
      </w:pPr>
      <w:r>
        <w:t xml:space="preserve">3.1 The Six Failure Modes</w:t>
      </w:r>
    </w:p>
    <w:p>
      <w:pPr>
        <w:spacing w:after="60" w:before="60" w:line="276"/>
      </w:pPr>
      <w:r>
        <w:rPr>
          <w:rFonts w:ascii="Arial" w:cs="Arial" w:eastAsia="Arial" w:hAnsi="Arial"/>
          <w:color w:val="333333"/>
          <w:sz w:val="21"/>
          <w:szCs w:val="21"/>
        </w:rPr>
        <w:t xml:space="preserve">MC-4 detects six specific failure modes that escape conventional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Failure Mode</w:t>
            </w:r>
          </w:p>
        </w:tc>
        <w:tc>
          <w:tcPr>
            <w:tcW w:type="dxa" w:w="4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Real-World Example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Ratio Blindness</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Every part improves, but ratios shift silently</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All factory lines yield up; production concentrates on two</w:t>
            </w:r>
          </w:p>
        </w:tc>
      </w:tr>
      <w:tr>
        <w:tc>
          <w:tcPr>
            <w:tcW w:type="dxa" w:w="22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Silent Reweighting</w:t>
            </w:r>
          </w:p>
        </w:tc>
        <w:tc>
          <w:tcPr>
            <w:tcW w:type="dxa" w:w="42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Governance attention concentrates without decision</w:t>
            </w:r>
          </w:p>
        </w:tc>
        <w:tc>
          <w:tcPr>
            <w:tcW w:type="dxa" w:w="296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Wetland policy focuses on dominant types only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Snapshot Error</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Single composition sample misrepresents temporal structure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Annual energy report taken at seasonal peak</w:t>
            </w:r>
          </w:p>
        </w:tc>
      </w:tr>
      <w:tr>
        <w:tc>
          <w:tcPr>
            <w:tcW w:type="dxa" w:w="22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Concentration Trap</w:t>
            </w:r>
          </w:p>
        </w:tc>
        <w:tc>
          <w:tcPr>
            <w:tcW w:type="dxa" w:w="42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Optimization drives toward monoculture</w:t>
            </w:r>
          </w:p>
        </w:tc>
        <w:tc>
          <w:tcPr>
            <w:tcW w:type="dxa" w:w="296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Portfolio converges to tech-only allocation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Fragmentation Spiral</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Too many small parts fall below detection threshold</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Rare habitat types drop out of monitoring</w:t>
            </w:r>
          </w:p>
        </w:tc>
      </w:tr>
      <w:tr>
        <w:tc>
          <w:tcPr>
            <w:tcW w:type="dxa" w:w="22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Orphan Element</w:t>
            </w:r>
          </w:p>
        </w:tc>
        <w:tc>
          <w:tcPr>
            <w:tcW w:type="dxa" w:w="42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 part drops below attention while still drawing resources</w:t>
            </w:r>
          </w:p>
        </w:tc>
        <w:tc>
          <w:tcPr>
            <w:tcW w:type="dxa" w:w="296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Legacy fuel source ignored but still on the grid</w:t>
            </w:r>
          </w:p>
        </w:tc>
      </w:tr>
    </w:tbl>
    <w:p>
      <w:pPr>
        <w:spacing w:after="60" w:before="60"/>
      </w:pPr>
    </w:p>
    <w:p>
      <w:pPr>
        <w:spacing w:after="60" w:before="60" w:line="276"/>
      </w:pPr>
      <w:r>
        <w:rPr>
          <w:rFonts w:ascii="Arial" w:cs="Arial" w:eastAsia="Arial" w:hAnsi="Arial"/>
          <w:color w:val="333333"/>
          <w:sz w:val="21"/>
          <w:szCs w:val="21"/>
        </w:rPr>
        <w:t xml:space="preserve">These failure modes are not theoretical constructs. They are observable in energy systems, financial portfolios, environmental monitoring programmes, and manufacturing operations. The common thread: the failure is invisible to MC-1, MC-2, and MC-3 individually but readable to MC-4.</w:t>
      </w:r>
    </w:p>
    <w:p>
      <w:pPr>
        <w:pStyle w:val="Heading1"/>
      </w:pPr>
      <w:r>
        <w:t xml:space="preserve">4. The Mathematical Foundation: Aitchison’s CoDa</w:t>
      </w:r>
    </w:p>
    <w:p>
      <w:pPr>
        <w:spacing w:after="60" w:before="60" w:line="276"/>
      </w:pPr>
      <w:r>
        <w:rPr>
          <w:rFonts w:ascii="Arial" w:cs="Arial" w:eastAsia="Arial" w:hAnsi="Arial"/>
          <w:color w:val="333333"/>
          <w:sz w:val="21"/>
          <w:szCs w:val="21"/>
        </w:rPr>
        <w:t xml:space="preserve">MC-4 is not a new mathematics. It is the operational deployment of Compositional Data Analysis (CoDa) as formalized by John Aitchison in 1982 and developed by the CoDa community over four decades. The key constructs: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CoDa Construct</w:t>
            </w:r>
          </w:p>
        </w:tc>
        <w:tc>
          <w:tcPr>
            <w:tcW w:type="dxa" w:w="3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Provides</w:t>
            </w:r>
          </w:p>
        </w:tc>
        <w:tc>
          <w:tcPr>
            <w:tcW w:type="dxa" w:w="33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MC-4 Operational Role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Aitchison Geometry</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Inner product, norm, distance on the simplex</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Correct distance and similarity measures for compositions</w:t>
            </w:r>
          </w:p>
        </w:tc>
      </w:tr>
      <w:tr>
        <w:tc>
          <w:tcPr>
            <w:tcW w:type="dxa" w:w="26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Geometric Mean (Fréchet)</w:t>
            </w:r>
          </w:p>
        </w:tc>
        <w:tc>
          <w:tcPr>
            <w:tcW w:type="dxa" w:w="34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Correct averaging on the simplex</w:t>
            </w:r>
          </w:p>
        </w:tc>
        <w:tc>
          <w:tcPr>
            <w:tcW w:type="dxa" w:w="336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Temporal aggregation that preserves information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ILR Transform</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Isometric coordinates in unconstrained space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Balance monitoring, variance decomposition, SPC charts</w:t>
            </w:r>
          </w:p>
        </w:tc>
      </w:tr>
      <w:tr>
        <w:tc>
          <w:tcPr>
            <w:tcW w:type="dxa" w:w="26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Subcompositional Coherence</w:t>
            </w:r>
          </w:p>
        </w:tc>
        <w:tc>
          <w:tcPr>
            <w:tcW w:type="dxa" w:w="34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Analysis invariant to choice of subset</w:t>
            </w:r>
          </w:p>
        </w:tc>
        <w:tc>
          <w:tcPr>
            <w:tcW w:type="dxa" w:w="336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Consistent monitoring at any level of aggregation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Sequential Binary Partition</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Structured contrast of part-groups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Multi-tap monitoring (any wiring, same total variance)</w:t>
            </w:r>
          </w:p>
        </w:tc>
      </w:tr>
    </w:tbl>
    <w:p>
      <w:pPr>
        <w:spacing w:after="60" w:before="60"/>
      </w:pPr>
    </w:p>
    <w:p>
      <w:pPr>
        <w:spacing w:after="60" w:before="60" w:line="276"/>
      </w:pPr>
      <w:r>
        <w:rPr>
          <w:rFonts w:ascii="Arial" w:cs="Arial" w:eastAsia="Arial" w:hAnsi="Arial"/>
          <w:b/>
          <w:bCs/>
          <w:color w:val="333333"/>
          <w:sz w:val="21"/>
          <w:szCs w:val="21"/>
        </w:rPr>
        <w:t xml:space="preserve">The CoDa community owns the mathematics. MC-4 provides the institutional delivery mechanism. </w:t>
      </w:r>
      <w:r>
        <w:rPr>
          <w:rFonts w:ascii="Arial" w:cs="Arial" w:eastAsia="Arial" w:hAnsi="Arial"/>
          <w:color w:val="333333"/>
          <w:sz w:val="21"/>
          <w:szCs w:val="21"/>
        </w:rPr>
        <w:t xml:space="preserve">An ISO standard for composition monitoring would make CoDa the </w:t>
      </w:r>
      <w:r>
        <w:rPr>
          <w:rFonts w:ascii="Arial" w:cs="Arial" w:eastAsia="Arial" w:hAnsi="Arial"/>
          <w:b/>
          <w:bCs/>
          <w:i/>
          <w:iCs/>
          <w:color w:val="333333"/>
          <w:sz w:val="21"/>
          <w:szCs w:val="21"/>
        </w:rPr>
        <w:t xml:space="preserve">required mathematical foundation</w:t>
      </w:r>
      <w:r>
        <w:rPr>
          <w:rFonts w:ascii="Arial" w:cs="Arial" w:eastAsia="Arial" w:hAnsi="Arial"/>
          <w:color w:val="333333"/>
          <w:sz w:val="21"/>
          <w:szCs w:val="21"/>
        </w:rPr>
        <w:t xml:space="preserve"> for an entire class of measurement — just as the GUM (Guide to the Expression of Uncertainty in Measurement) made probability theory the required framework for measurement uncertainty.</w:t>
      </w:r>
    </w:p>
    <w:p>
      <w:r>
        <w:br w:type="page"/>
      </w:r>
    </w:p>
    <w:p>
      <w:pPr>
        <w:pStyle w:val="Heading1"/>
      </w:pPr>
      <w:r>
        <w:t xml:space="preserve">5. Empirical Evidence: EITT and the Scaling Error Catalogue</w:t>
      </w:r>
    </w:p>
    <w:p>
      <w:pPr>
        <w:spacing w:after="60" w:before="60" w:line="276"/>
      </w:pPr>
      <w:r>
        <w:rPr>
          <w:rFonts w:ascii="Arial" w:cs="Arial" w:eastAsia="Arial" w:hAnsi="Arial"/>
          <w:color w:val="333333"/>
          <w:sz w:val="21"/>
          <w:szCs w:val="21"/>
        </w:rPr>
        <w:t xml:space="preserve">The case for MC-4 standardization rests on quantified evidence that ignoring compositional geometry produces measurable, systematic errors. The EITT framework (Entropy Invariance under Temporal Transformation) provides the measuring instrument.</w:t>
      </w:r>
    </w:p>
    <w:p>
      <w:pPr>
        <w:pStyle w:val="Heading2"/>
      </w:pPr>
      <w:r>
        <w:t xml:space="preserve">5.1 The Scaling Error Catalogue</w:t>
      </w:r>
    </w:p>
    <w:p>
      <w:pPr>
        <w:spacing w:after="60" w:before="60" w:line="276"/>
      </w:pPr>
      <w:r>
        <w:rPr>
          <w:rFonts w:ascii="Arial" w:cs="Arial" w:eastAsia="Arial" w:hAnsi="Arial"/>
          <w:color w:val="333333"/>
          <w:sz w:val="21"/>
          <w:szCs w:val="21"/>
        </w:rPr>
        <w:t xml:space="preserve">Across four domains, five scale types, and 339 years of data, we measured what happens when CoDa principles are ignored: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Scale Violation</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Measured Error</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Domain</w:t>
            </w:r>
          </w:p>
        </w:tc>
        <w:tc>
          <w:tcPr>
            <w:tcW w:type="dxa" w:w="23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Affected Fields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Arithmetic mean instead of geometric</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Up to 1.53 pp excess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Germany energy</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Climate, economics, ecology</w:t>
            </w:r>
          </w:p>
        </w:tc>
      </w:tr>
      <w:tr>
        <w:tc>
          <w:tcPr>
            <w:tcW w:type="dxa" w:w="28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Amalgamating volatile parts</w:t>
            </w:r>
          </w:p>
        </w:tc>
        <w:tc>
          <w:tcPr>
            <w:tcW w:type="dxa" w:w="22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2.22% entropy error</w:t>
            </w:r>
          </w:p>
        </w:tc>
        <w:tc>
          <w:tcPr>
            <w:tcW w:type="dxa" w:w="20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China energy</w:t>
            </w:r>
          </w:p>
        </w:tc>
        <w:tc>
          <w:tcPr>
            <w:tcW w:type="dxa" w:w="236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Energy policy, portfolios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Insufficient dimensions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6.7% entropy error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Gold/Silver</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Any K chosen by convention</w:t>
            </w:r>
          </w:p>
        </w:tc>
      </w:tr>
      <w:tr>
        <w:tc>
          <w:tcPr>
            <w:tcW w:type="dxa" w:w="28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Assuming contraction mapping</w:t>
            </w:r>
          </w:p>
        </w:tc>
        <w:tc>
          <w:tcPr>
            <w:tcW w:type="dxa" w:w="22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Distances grow 2–5×</w:t>
            </w:r>
          </w:p>
        </w:tc>
        <w:tc>
          <w:tcPr>
            <w:tcW w:type="dxa" w:w="20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World energy</w:t>
            </w:r>
          </w:p>
        </w:tc>
        <w:tc>
          <w:tcPr>
            <w:tcW w:type="dxa" w:w="236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Signal processing, time series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Fixed window on non-stationary data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4.51% entropy error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Renewables subcomp.</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Long-horizon forecasts</w:t>
            </w:r>
          </w:p>
        </w:tc>
      </w:tr>
    </w:tbl>
    <w:p>
      <w:pPr>
        <w:spacing w:after="60" w:before="60"/>
      </w:pPr>
    </w:p>
    <w:p>
      <w:pPr>
        <w:spacing w:after="60" w:before="60" w:line="276"/>
      </w:pPr>
      <w:r>
        <w:rPr>
          <w:rFonts w:ascii="Arial" w:cs="Arial" w:eastAsia="Arial" w:hAnsi="Arial"/>
          <w:color w:val="333333"/>
          <w:sz w:val="21"/>
          <w:szCs w:val="21"/>
        </w:rPr>
        <w:t xml:space="preserve">Every number is reproducible from publicly available data and open-source scripts. </w:t>
      </w:r>
      <w:r>
        <w:rPr>
          <w:rFonts w:ascii="Arial" w:cs="Arial" w:eastAsia="Arial" w:hAnsi="Arial"/>
          <w:color w:val="333333"/>
          <w:sz w:val="21"/>
          <w:szCs w:val="21"/>
        </w:rPr>
        <w:t xml:space="preserve">These errors are structural and predictable — they are exactly the kind of systematic bias that ISO standards exist to prevent.</w:t>
      </w:r>
      <w:r>
        <w:rPr>
          <w:rFonts w:ascii="Arial" w:cs="Arial" w:eastAsia="Arial" w:hAnsi="Arial"/>
          <w:i/>
          <w:iCs/>
          <w:color w:val="333333"/>
          <w:sz w:val="21"/>
          <w:szCs w:val="21"/>
        </w:rPr>
        <w:t xml:space="preserve"> The EITT framework provides both the diagnostic (what went wrong) and the prescription (use the Aitchison geometry).</w:t>
      </w:r>
    </w:p>
    <w:p>
      <w:pPr>
        <w:pStyle w:val="Heading2"/>
      </w:pPr>
      <w:r>
        <w:t xml:space="preserve">5.2 Key Results Supporting Standardization</w:t>
      </w:r>
    </w:p>
    <w:p>
      <w:pPr>
        <w:spacing w:after="60" w:before="60" w:line="276"/>
      </w:pPr>
      <w:r>
        <w:rPr>
          <w:rFonts w:ascii="Arial" w:cs="Arial" w:eastAsia="Arial" w:hAnsi="Arial"/>
          <w:b/>
          <w:bCs/>
          <w:color w:val="333333"/>
          <w:sz w:val="21"/>
          <w:szCs w:val="21"/>
        </w:rPr>
        <w:t xml:space="preserve">Proposition 3.3 (Balance Preservation): </w:t>
      </w:r>
      <w:r>
        <w:rPr>
          <w:rFonts w:ascii="Arial" w:cs="Arial" w:eastAsia="Arial" w:hAnsi="Arial"/>
          <w:color w:val="333333"/>
          <w:sz w:val="21"/>
          <w:szCs w:val="21"/>
        </w:rPr>
        <w:t xml:space="preserve">The ILR balance of a block geometric mean exactly equals the arithmetic mean of within-block ILR balances. Proved to machine precision (10⁻¹⁶). This is a mathematical property of the Aitchison geometry, not a data-dependent observation.</w:t>
      </w:r>
    </w:p>
    <w:p>
      <w:pPr>
        <w:spacing w:after="60" w:before="60" w:line="276"/>
      </w:pPr>
      <w:r>
        <w:rPr>
          <w:rFonts w:ascii="Arial" w:cs="Arial" w:eastAsia="Arial" w:hAnsi="Arial"/>
          <w:b/>
          <w:bCs/>
          <w:color w:val="333333"/>
          <w:sz w:val="21"/>
          <w:szCs w:val="21"/>
        </w:rPr>
        <w:t xml:space="preserve">Renyi Generalization: </w:t>
      </w:r>
      <w:r>
        <w:rPr>
          <w:rFonts w:ascii="Arial" w:cs="Arial" w:eastAsia="Arial" w:hAnsi="Arial"/>
          <w:color w:val="333333"/>
          <w:sz w:val="21"/>
          <w:szCs w:val="21"/>
        </w:rPr>
        <w:t xml:space="preserve">The near-invariance holds for ALL Renyi entropy orders q ∈ [0.1, 5.0]. Shannon entropy is not special. The phenomenon lives in the geometry. This means the framework applies to every smooth functional on the simplex: Simpson’s diversity index (ecology), Herfindahl index (economics), Gibbs entropy (physics).</w:t>
      </w:r>
    </w:p>
    <w:p>
      <w:pPr>
        <w:spacing w:after="60" w:before="60" w:line="276"/>
      </w:pPr>
      <w:r>
        <w:rPr>
          <w:rFonts w:ascii="Arial" w:cs="Arial" w:eastAsia="Arial" w:hAnsi="Arial"/>
          <w:b/>
          <w:bCs/>
          <w:color w:val="333333"/>
          <w:sz w:val="21"/>
          <w:szCs w:val="21"/>
        </w:rPr>
        <w:t xml:space="preserve">Bidirectional EITT Inversion: </w:t>
      </w:r>
      <w:r>
        <w:rPr>
          <w:rFonts w:ascii="Arial" w:cs="Arial" w:eastAsia="Arial" w:hAnsi="Arial"/>
          <w:color w:val="333333"/>
          <w:sz w:val="21"/>
          <w:szCs w:val="21"/>
        </w:rPr>
        <w:t xml:space="preserve">When the invariance fails, the direction of the fix is diagnostic. Upward inversion (add dimensions) identifies hidden structure. Downward inversion (amalgamate parts) identifies non-stationarity. Both directions have empirical precedents in the test data.</w:t>
      </w:r>
    </w:p>
    <w:p>
      <w:pPr>
        <w:spacing w:after="60" w:before="60" w:line="276"/>
      </w:pPr>
      <w:r>
        <w:rPr>
          <w:rFonts w:ascii="Arial" w:cs="Arial" w:eastAsia="Arial" w:hAnsi="Arial"/>
          <w:b/>
          <w:bCs/>
          <w:color w:val="333333"/>
          <w:sz w:val="21"/>
          <w:szCs w:val="21"/>
        </w:rPr>
        <w:t xml:space="preserve">Adaptive Decimation: </w:t>
      </w:r>
      <w:r>
        <w:rPr>
          <w:rFonts w:ascii="Arial" w:cs="Arial" w:eastAsia="Arial" w:hAnsi="Arial"/>
          <w:color w:val="333333"/>
          <w:sz w:val="21"/>
          <w:szCs w:val="21"/>
        </w:rPr>
        <w:t xml:space="preserve">d(CoDa)/dt — the maximum balance velocity across ILR coordinates — serves as a rate controller that determines the maximum safe averaging window. This provides a quantitative answer to: “How often must I observe this composition?”</w:t>
      </w:r>
    </w:p>
    <w:p>
      <w:pPr>
        <w:pStyle w:val="Heading1"/>
      </w:pPr>
      <w:r>
        <w:t xml:space="preserve">6. Proposed ISO Pathway</w:t>
      </w:r>
    </w:p>
    <w:p>
      <w:pPr>
        <w:pStyle w:val="Heading2"/>
      </w:pPr>
      <w:r>
        <w:t xml:space="preserve">6.1 Target Technical Committee</w:t>
      </w:r>
    </w:p>
    <w:p>
      <w:pPr>
        <w:spacing w:after="60" w:before="60" w:line="276"/>
      </w:pPr>
      <w:r>
        <w:rPr>
          <w:rFonts w:ascii="Arial" w:cs="Arial" w:eastAsia="Arial" w:hAnsi="Arial"/>
          <w:b/>
          <w:bCs/>
          <w:color w:val="333333"/>
          <w:sz w:val="21"/>
          <w:szCs w:val="21"/>
        </w:rPr>
        <w:t xml:space="preserve">ISO/TC 69 — Applications of Statistical Methods</w:t>
      </w:r>
      <w:r>
        <w:rPr>
          <w:rFonts w:ascii="Arial" w:cs="Arial" w:eastAsia="Arial" w:hAnsi="Arial"/>
          <w:color w:val="333333"/>
          <w:sz w:val="21"/>
          <w:szCs w:val="21"/>
        </w:rPr>
        <w:t xml:space="preserve"> is the natural home. TC 69 is already chartered as advisor to all ISO technical committees on statistical methods. Its subcommittees cover the existing MC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Subcommittee</w:t>
            </w:r>
          </w:p>
        </w:tc>
        <w:tc>
          <w:tcPr>
            <w:tcW w:type="dxa" w:w="4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Scope</w:t>
            </w:r>
          </w:p>
        </w:tc>
        <w:tc>
          <w:tcPr>
            <w:tcW w:type="dxa" w:w="33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MC-4 Interface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SC 4</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Statistical methods in product and process management (SPC, control charts)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Compositional control charts using ILR balance coordinates</w:t>
            </w:r>
          </w:p>
        </w:tc>
      </w:tr>
      <w:tr>
        <w:tc>
          <w:tcPr>
            <w:tcW w:type="dxa" w:w="20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SC 6</w:t>
            </w:r>
          </w:p>
        </w:tc>
        <w:tc>
          <w:tcPr>
            <w:tcW w:type="dxa" w:w="40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Measurement methods and results (uncertainty, calibration)</w:t>
            </w:r>
          </w:p>
        </w:tc>
        <w:tc>
          <w:tcPr>
            <w:tcW w:type="dxa" w:w="336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Measurement uncertainty for compositional observables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SC 8</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Statistical methods for new technology and product development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Compositional monitoring in emerging systems (energy transition, AI portfolios)</w:t>
            </w:r>
          </w:p>
        </w:tc>
      </w:tr>
    </w:tbl>
    <w:p>
      <w:pPr>
        <w:spacing w:after="60" w:before="60"/>
      </w:pPr>
    </w:p>
    <w:p>
      <w:pPr>
        <w:spacing w:after="60" w:before="60" w:line="276"/>
      </w:pPr>
      <w:r>
        <w:rPr>
          <w:rFonts w:ascii="Arial" w:cs="Arial" w:eastAsia="Arial" w:hAnsi="Arial"/>
          <w:color w:val="333333"/>
          <w:sz w:val="21"/>
          <w:szCs w:val="21"/>
        </w:rPr>
        <w:t xml:space="preserve">A new Work Item proposal would target either a new part within an existing standard series (e.g., a Part within ISO 22514 on process capability, extended to compositional processes) or a new standard dedicated to compositional monitoring methodology.</w:t>
      </w:r>
    </w:p>
    <w:p>
      <w:pPr>
        <w:pStyle w:val="Heading2"/>
      </w:pPr>
      <w:r>
        <w:t xml:space="preserve">6.2 Interface with Existing Standards</w:t>
      </w:r>
    </w:p>
    <w:p>
      <w:pPr>
        <w:spacing w:after="60" w:before="60" w:line="276"/>
      </w:pPr>
      <w:r>
        <w:rPr>
          <w:rFonts w:ascii="Arial" w:cs="Arial" w:eastAsia="Arial" w:hAnsi="Arial"/>
          <w:color w:val="333333"/>
          <w:sz w:val="21"/>
          <w:szCs w:val="21"/>
        </w:rPr>
        <w:t xml:space="preserve">MC-4 does not replace existing standards. It extends them into compositional territory: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Existing Standard</w:t>
            </w:r>
          </w:p>
        </w:tc>
        <w:tc>
          <w:tcPr>
            <w:tcW w:type="dxa" w:w="3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Coverage</w:t>
            </w:r>
          </w:p>
        </w:tc>
        <w:tc>
          <w:tcPr>
            <w:tcW w:type="dxa" w:w="33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MC-4 Extension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ISO 17025</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Laboratory measurement competence and calibration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Compositional measurement uncertainty; simplex-aware calibration</w:t>
            </w:r>
          </w:p>
        </w:tc>
      </w:tr>
      <w:tr>
        <w:tc>
          <w:tcPr>
            <w:tcW w:type="dxa" w:w="22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ISO 7870 series</w:t>
            </w:r>
          </w:p>
        </w:tc>
        <w:tc>
          <w:tcPr>
            <w:tcW w:type="dxa" w:w="38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Control charts for process monitoring</w:t>
            </w:r>
          </w:p>
        </w:tc>
        <w:tc>
          <w:tcPr>
            <w:tcW w:type="dxa" w:w="336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Balance control charts (ILR coordinates); compositional alarms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ISO 22400</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Manufacturing KPIs and operations management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Compositional KPIs (portfolio balance, mix stability)</w:t>
            </w:r>
          </w:p>
        </w:tc>
      </w:tr>
      <w:tr>
        <w:tc>
          <w:tcPr>
            <w:tcW w:type="dxa" w:w="22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ISO 14001:2026</w:t>
            </w:r>
          </w:p>
        </w:tc>
        <w:tc>
          <w:tcPr>
            <w:tcW w:type="dxa" w:w="38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Environmental management systems</w:t>
            </w:r>
          </w:p>
        </w:tc>
        <w:tc>
          <w:tcPr>
            <w:tcW w:type="dxa" w:w="336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Habitat composition monitoring; ecosystem balance indicators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ISO 11352</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Water quality measurement uncertainty</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Compositional water quality (ion ratios, nutrient balance)</w:t>
            </w:r>
          </w:p>
        </w:tc>
      </w:tr>
      <w:tr>
        <w:tc>
          <w:tcPr>
            <w:tcW w:type="dxa" w:w="22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GUM (JCGM 100)</w:t>
            </w:r>
          </w:p>
        </w:tc>
        <w:tc>
          <w:tcPr>
            <w:tcW w:type="dxa" w:w="38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Expression of measurement uncertainty</w:t>
            </w:r>
          </w:p>
        </w:tc>
        <w:tc>
          <w:tcPr>
            <w:tcW w:type="dxa" w:w="336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Uncertainty propagation on the simplex using Aitchison metric</w:t>
            </w:r>
          </w:p>
        </w:tc>
      </w:tr>
    </w:tbl>
    <w:p>
      <w:r>
        <w:br w:type="page"/>
      </w:r>
    </w:p>
    <w:p>
      <w:pPr>
        <w:pStyle w:val="Heading2"/>
      </w:pPr>
      <w:r>
        <w:t xml:space="preserve">6.3 Interface with Environmental Conventions</w:t>
      </w:r>
    </w:p>
    <w:p>
      <w:pPr>
        <w:spacing w:after="60" w:before="60" w:line="276"/>
      </w:pPr>
      <w:r>
        <w:rPr>
          <w:rFonts w:ascii="Arial" w:cs="Arial" w:eastAsia="Arial" w:hAnsi="Arial"/>
          <w:b/>
          <w:bCs/>
          <w:color w:val="333333"/>
          <w:sz w:val="21"/>
          <w:szCs w:val="21"/>
        </w:rPr>
        <w:t xml:space="preserve">The Ramsar Convention on Wetlands</w:t>
      </w:r>
      <w:r>
        <w:rPr>
          <w:rFonts w:ascii="Arial" w:cs="Arial" w:eastAsia="Arial" w:hAnsi="Arial"/>
          <w:color w:val="333333"/>
          <w:sz w:val="21"/>
          <w:szCs w:val="21"/>
        </w:rPr>
        <w:t xml:space="preserve"> is the most immediate institutional deployment target. Ramsar COP15 (July 2025) emphasized the need for stronger scientific and technical monitoring frameworks, improved national wetland inventories, and measurable indicator frameworks aligned with the SDGs. MC-4 addresses each of these directly:</w:t>
      </w:r>
    </w:p>
    <w:p>
      <w:pPr>
        <w:spacing w:after="60" w:before="60" w:line="276"/>
      </w:pPr>
      <w:r>
        <w:rPr>
          <w:rFonts w:ascii="Arial" w:cs="Arial" w:eastAsia="Arial" w:hAnsi="Arial"/>
          <w:i/>
          <w:iCs/>
          <w:color w:val="333333"/>
          <w:sz w:val="21"/>
          <w:szCs w:val="21"/>
        </w:rPr>
        <w:t xml:space="preserve">Ramsar’s 3-year reporting cycle is a temporal decimation. </w:t>
      </w:r>
      <w:r>
        <w:rPr>
          <w:rFonts w:ascii="Arial" w:cs="Arial" w:eastAsia="Arial" w:hAnsi="Arial"/>
          <w:color w:val="333333"/>
          <w:sz w:val="21"/>
          <w:szCs w:val="21"/>
        </w:rPr>
        <w:t xml:space="preserve">EITT quantifies whether this cycle preserves the compositional signal of wetland habitat balance. If it does not, MC-4 identifies which sites and which habitat types require more frequent observation.</w:t>
      </w:r>
    </w:p>
    <w:p>
      <w:pPr>
        <w:spacing w:after="60" w:before="60" w:line="276"/>
      </w:pPr>
      <w:r>
        <w:rPr>
          <w:rFonts w:ascii="Arial" w:cs="Arial" w:eastAsia="Arial" w:hAnsi="Arial"/>
          <w:b/>
          <w:bCs/>
          <w:color w:val="333333"/>
          <w:sz w:val="21"/>
          <w:szCs w:val="21"/>
        </w:rPr>
        <w:t xml:space="preserve">Resolution XV.10</w:t>
      </w:r>
      <w:r>
        <w:rPr>
          <w:rFonts w:ascii="Arial" w:cs="Arial" w:eastAsia="Arial" w:hAnsi="Arial"/>
          <w:color w:val="333333"/>
          <w:sz w:val="21"/>
          <w:szCs w:val="21"/>
        </w:rPr>
        <w:t xml:space="preserve"> on scientific and technical aspects calls for advancing assessment technology and collaboration with earth observation agencies. MC-4 provides the mathematical framework for interpreting earth observation data as compositions — land cover proportions, habitat mix indices, biodiversity balance metrics — using the geometry that makes these observables behave correctly across spatial and temporal scales.</w:t>
      </w:r>
    </w:p>
    <w:p>
      <w:pPr>
        <w:spacing w:after="60" w:before="60" w:line="276"/>
      </w:pPr>
      <w:r>
        <w:rPr>
          <w:rFonts w:ascii="Arial" w:cs="Arial" w:eastAsia="Arial" w:hAnsi="Arial"/>
          <w:b/>
          <w:bCs/>
          <w:color w:val="333333"/>
          <w:sz w:val="21"/>
          <w:szCs w:val="21"/>
        </w:rPr>
        <w:t xml:space="preserve">ISO 14001:2026</w:t>
      </w:r>
      <w:r>
        <w:rPr>
          <w:rFonts w:ascii="Arial" w:cs="Arial" w:eastAsia="Arial" w:hAnsi="Arial"/>
          <w:color w:val="333333"/>
          <w:sz w:val="21"/>
          <w:szCs w:val="21"/>
        </w:rPr>
        <w:t xml:space="preserve">, expected in April 2026, strengthens environmental monitoring to include biodiversity, pollution levels, and natural resource availability. MC-4 gives ISO 14001 a rigorous framework for monitoring the </w:t>
      </w:r>
      <w:r>
        <w:rPr>
          <w:rFonts w:ascii="Arial" w:cs="Arial" w:eastAsia="Arial" w:hAnsi="Arial"/>
          <w:i/>
          <w:iCs/>
          <w:color w:val="333333"/>
          <w:sz w:val="21"/>
          <w:szCs w:val="21"/>
        </w:rPr>
        <w:t xml:space="preserve">compositional balance</w:t>
      </w:r>
      <w:r>
        <w:rPr>
          <w:rFonts w:ascii="Arial" w:cs="Arial" w:eastAsia="Arial" w:hAnsi="Arial"/>
          <w:color w:val="333333"/>
          <w:sz w:val="21"/>
          <w:szCs w:val="21"/>
        </w:rPr>
        <w:t xml:space="preserve"> of these factors — not just their individual levels. An organization can report improving biodiversity scores on individual metrics while the overall habitat composition silently homogenizes. MC-4 detects this.</w:t>
      </w:r>
    </w:p>
    <w:p>
      <w:pPr>
        <w:pStyle w:val="Heading1"/>
      </w:pPr>
      <w:r>
        <w:t xml:space="preserve">7. The CoDa Community’s Role</w:t>
      </w:r>
    </w:p>
    <w:p>
      <w:pPr>
        <w:spacing w:after="60" w:before="60" w:line="276"/>
      </w:pPr>
      <w:r>
        <w:rPr>
          <w:rFonts w:ascii="Arial" w:cs="Arial" w:eastAsia="Arial" w:hAnsi="Arial"/>
          <w:color w:val="333333"/>
          <w:sz w:val="21"/>
          <w:szCs w:val="21"/>
        </w:rPr>
        <w:t xml:space="preserve">Standardization is a two-way street. MC-4 needs CoDa. CoDa benefits from MC-4.</w:t>
      </w:r>
    </w:p>
    <w:p>
      <w:pPr>
        <w:pStyle w:val="Heading2"/>
      </w:pPr>
      <w:r>
        <w:t xml:space="preserve">7.1 What CoDa Provides</w:t>
      </w:r>
    </w:p>
    <w:p>
      <w:pPr>
        <w:spacing w:after="60" w:before="60" w:line="276"/>
      </w:pPr>
      <w:r>
        <w:rPr>
          <w:rFonts w:ascii="Arial" w:cs="Arial" w:eastAsia="Arial" w:hAnsi="Arial"/>
          <w:b/>
          <w:bCs/>
          <w:color w:val="333333"/>
          <w:sz w:val="21"/>
          <w:szCs w:val="21"/>
        </w:rPr>
        <w:t xml:space="preserve">The Aitchison geometry is to compositional monitoring what probability theory is to measurement uncertainty. </w:t>
      </w:r>
      <w:r>
        <w:rPr>
          <w:rFonts w:ascii="Arial" w:cs="Arial" w:eastAsia="Arial" w:hAnsi="Arial"/>
          <w:color w:val="333333"/>
          <w:sz w:val="21"/>
          <w:szCs w:val="21"/>
        </w:rPr>
        <w:t xml:space="preserve">Without it, MC-4 has no valid mathematical foundation. Every operation MC-4 performs — averaging, distance measurement, variance decomposition, balance monitoring, temporal aggregation — must be Aitchison-correct to produce valid results. The CoDa community provides:</w:t>
      </w:r>
    </w:p>
    <w:p>
      <w:pPr>
        <w:pStyle w:val="ListParagraph"/>
        <w:numPr>
          <w:ilvl w:val="0"/>
          <w:numId w:val="2"/>
        </w:numPr>
        <w:spacing w:after="60" w:before="60" w:line="276"/>
      </w:pPr>
      <w:r>
        <w:rPr>
          <w:rFonts w:ascii="Arial" w:cs="Arial" w:eastAsia="Arial" w:hAnsi="Arial"/>
          <w:color w:val="333333"/>
          <w:sz w:val="21"/>
          <w:szCs w:val="21"/>
        </w:rPr>
        <w:t xml:space="preserve">The Aitchison metric, inner product, and norm — the foundational geometry</w:t>
      </w:r>
    </w:p>
    <w:p>
      <w:pPr>
        <w:pStyle w:val="ListParagraph"/>
        <w:numPr>
          <w:ilvl w:val="0"/>
          <w:numId w:val="2"/>
        </w:numPr>
        <w:spacing w:after="60" w:before="60" w:line="276"/>
      </w:pPr>
      <w:r>
        <w:rPr>
          <w:rFonts w:ascii="Arial" w:cs="Arial" w:eastAsia="Arial" w:hAnsi="Arial"/>
          <w:color w:val="333333"/>
          <w:sz w:val="21"/>
          <w:szCs w:val="21"/>
        </w:rPr>
        <w:t xml:space="preserve">ILR, CLR, and ALR transforms — the coordinate systems for unconstrained analysis</w:t>
      </w:r>
    </w:p>
    <w:p>
      <w:pPr>
        <w:pStyle w:val="ListParagraph"/>
        <w:numPr>
          <w:ilvl w:val="0"/>
          <w:numId w:val="2"/>
        </w:numPr>
        <w:spacing w:after="60" w:before="60" w:line="276"/>
      </w:pPr>
      <w:r>
        <w:rPr>
          <w:rFonts w:ascii="Arial" w:cs="Arial" w:eastAsia="Arial" w:hAnsi="Arial"/>
          <w:color w:val="333333"/>
          <w:sz w:val="21"/>
          <w:szCs w:val="21"/>
        </w:rPr>
        <w:t xml:space="preserve">Subcompositional coherence — the guarantee that results are stable across aggregation levels</w:t>
      </w:r>
    </w:p>
    <w:p>
      <w:pPr>
        <w:pStyle w:val="ListParagraph"/>
        <w:numPr>
          <w:ilvl w:val="0"/>
          <w:numId w:val="2"/>
        </w:numPr>
        <w:spacing w:after="60" w:before="60" w:line="276"/>
      </w:pPr>
      <w:r>
        <w:rPr>
          <w:rFonts w:ascii="Arial" w:cs="Arial" w:eastAsia="Arial" w:hAnsi="Arial"/>
          <w:color w:val="333333"/>
          <w:sz w:val="21"/>
          <w:szCs w:val="21"/>
        </w:rPr>
        <w:t xml:space="preserve">The formal proof apparatus needed to bound EITT residuals (Open Problem O-1)</w:t>
      </w:r>
    </w:p>
    <w:p>
      <w:pPr>
        <w:pStyle w:val="ListParagraph"/>
        <w:numPr>
          <w:ilvl w:val="0"/>
          <w:numId w:val="2"/>
        </w:numPr>
        <w:spacing w:after="60" w:before="60" w:line="276"/>
      </w:pPr>
      <w:r>
        <w:rPr>
          <w:rFonts w:ascii="Arial" w:cs="Arial" w:eastAsia="Arial" w:hAnsi="Arial"/>
          <w:color w:val="333333"/>
          <w:sz w:val="21"/>
          <w:szCs w:val="21"/>
        </w:rPr>
        <w:t xml:space="preserve">Four decades of peer-reviewed literature establishing the theoretical foundation</w:t>
      </w:r>
    </w:p>
    <w:p>
      <w:pPr>
        <w:pStyle w:val="Heading2"/>
      </w:pPr>
      <w:r>
        <w:t xml:space="preserve">7.2 What MC-4 Provides to CoDa</w:t>
      </w:r>
    </w:p>
    <w:p>
      <w:pPr>
        <w:spacing w:after="60" w:before="60" w:line="276"/>
      </w:pPr>
      <w:r>
        <w:rPr>
          <w:rFonts w:ascii="Arial" w:cs="Arial" w:eastAsia="Arial" w:hAnsi="Arial"/>
          <w:b w:val="false"/>
          <w:bCs w:val="false"/>
          <w:color w:val="333333"/>
          <w:sz w:val="21"/>
          <w:szCs w:val="21"/>
        </w:rPr>
        <w:t xml:space="preserve">CoDa is currently an academic discipline with a small but expert community. MC-4 standardization would transform it into the </w:t>
      </w:r>
      <w:r>
        <w:rPr>
          <w:rFonts w:ascii="Arial" w:cs="Arial" w:eastAsia="Arial" w:hAnsi="Arial"/>
          <w:b/>
          <w:bCs/>
          <w:color w:val="333333"/>
          <w:sz w:val="21"/>
          <w:szCs w:val="21"/>
        </w:rPr>
        <w:t xml:space="preserve">required mathematical foundation for an entire ISO measurement category</w:t>
      </w:r>
      <w:r>
        <w:rPr>
          <w:rFonts w:ascii="Arial" w:cs="Arial" w:eastAsia="Arial" w:hAnsi="Arial"/>
          <w:color w:val="333333"/>
          <w:sz w:val="21"/>
          <w:szCs w:val="21"/>
        </w:rPr>
        <w:t xml:space="preserve">. The implications:</w:t>
      </w:r>
    </w:p>
    <w:p>
      <w:pPr>
        <w:pStyle w:val="ListParagraph"/>
        <w:numPr>
          <w:ilvl w:val="0"/>
          <w:numId w:val="2"/>
        </w:numPr>
        <w:spacing w:after="60" w:before="60" w:line="276"/>
      </w:pPr>
      <w:r>
        <w:rPr>
          <w:rFonts w:ascii="Arial" w:cs="Arial" w:eastAsia="Arial" w:hAnsi="Arial"/>
          <w:b/>
          <w:bCs/>
          <w:color w:val="333333"/>
          <w:sz w:val="21"/>
          <w:szCs w:val="21"/>
        </w:rPr>
        <w:t xml:space="preserve">Institutional adoption: </w:t>
      </w:r>
      <w:r>
        <w:rPr>
          <w:rFonts w:ascii="Arial" w:cs="Arial" w:eastAsia="Arial" w:hAnsi="Arial"/>
          <w:color w:val="333333"/>
          <w:sz w:val="21"/>
          <w:szCs w:val="21"/>
        </w:rPr>
        <w:t xml:space="preserve">Every organization that monitors compositions — energy grids, financial portfolios, environmental systems, manufacturing lines — would need CoDa-correct methods to comply</w:t>
      </w:r>
    </w:p>
    <w:p>
      <w:pPr>
        <w:pStyle w:val="ListParagraph"/>
        <w:numPr>
          <w:ilvl w:val="0"/>
          <w:numId w:val="2"/>
        </w:numPr>
        <w:spacing w:after="60" w:before="60" w:line="276"/>
      </w:pPr>
      <w:r>
        <w:rPr>
          <w:rFonts w:ascii="Arial" w:cs="Arial" w:eastAsia="Arial" w:hAnsi="Arial"/>
          <w:b/>
          <w:bCs/>
          <w:color w:val="333333"/>
          <w:sz w:val="21"/>
          <w:szCs w:val="21"/>
        </w:rPr>
        <w:t xml:space="preserve">Curriculum effect: </w:t>
      </w:r>
      <w:r>
        <w:rPr>
          <w:rFonts w:ascii="Arial" w:cs="Arial" w:eastAsia="Arial" w:hAnsi="Arial"/>
          <w:color w:val="333333"/>
          <w:sz w:val="21"/>
          <w:szCs w:val="21"/>
        </w:rPr>
        <w:t xml:space="preserve">ISO standards drive university curricula. CoDa would move from elective topic to required competency in statistics, environmental science, and engineering programmes</w:t>
      </w:r>
    </w:p>
    <w:p>
      <w:pPr>
        <w:pStyle w:val="ListParagraph"/>
        <w:numPr>
          <w:ilvl w:val="0"/>
          <w:numId w:val="2"/>
        </w:numPr>
        <w:spacing w:after="60" w:before="60" w:line="276"/>
      </w:pPr>
      <w:r>
        <w:rPr>
          <w:rFonts w:ascii="Arial" w:cs="Arial" w:eastAsia="Arial" w:hAnsi="Arial"/>
          <w:b/>
          <w:bCs/>
          <w:color w:val="333333"/>
          <w:sz w:val="21"/>
          <w:szCs w:val="21"/>
        </w:rPr>
        <w:t xml:space="preserve">Funding leverage: </w:t>
      </w:r>
      <w:r>
        <w:rPr>
          <w:rFonts w:ascii="Arial" w:cs="Arial" w:eastAsia="Arial" w:hAnsi="Arial"/>
          <w:color w:val="333333"/>
          <w:sz w:val="21"/>
          <w:szCs w:val="21"/>
        </w:rPr>
        <w:t xml:space="preserve">ISO standardization creates commercial demand for CoDa expertise — consulting, training, software certification, auditing</w:t>
      </w:r>
    </w:p>
    <w:p>
      <w:pPr>
        <w:pStyle w:val="ListParagraph"/>
        <w:numPr>
          <w:ilvl w:val="0"/>
          <w:numId w:val="2"/>
        </w:numPr>
        <w:spacing w:after="60" w:before="60" w:line="276"/>
      </w:pPr>
      <w:r>
        <w:rPr>
          <w:rFonts w:ascii="Arial" w:cs="Arial" w:eastAsia="Arial" w:hAnsi="Arial"/>
          <w:b/>
          <w:bCs/>
          <w:color w:val="333333"/>
          <w:sz w:val="21"/>
          <w:szCs w:val="21"/>
        </w:rPr>
        <w:t xml:space="preserve">Research agenda: </w:t>
      </w:r>
      <w:r>
        <w:rPr>
          <w:rFonts w:ascii="Arial" w:cs="Arial" w:eastAsia="Arial" w:hAnsi="Arial"/>
          <w:color w:val="333333"/>
          <w:sz w:val="21"/>
          <w:szCs w:val="21"/>
        </w:rPr>
        <w:t xml:space="preserve">The six open problems identified in EITT research (formal bounds, variance decomposition, Fisher-Rao interpretation, adaptive decimation optimality) become funded research priorities rather than academic curiosities</w:t>
      </w:r>
    </w:p>
    <w:p>
      <w:pPr>
        <w:pStyle w:val="Heading1"/>
      </w:pPr>
      <w:r>
        <w:t xml:space="preserve">8. Proposed Standard Structure</w:t>
      </w:r>
    </w:p>
    <w:p>
      <w:pPr>
        <w:spacing w:after="60" w:before="60" w:line="276"/>
      </w:pPr>
      <w:r>
        <w:rPr>
          <w:rFonts w:ascii="Arial" w:cs="Arial" w:eastAsia="Arial" w:hAnsi="Arial"/>
          <w:color w:val="333333"/>
          <w:sz w:val="21"/>
          <w:szCs w:val="21"/>
        </w:rPr>
        <w:t xml:space="preserve">A draft outline for an ISO standard on compositional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w:t>
            </w:r>
          </w:p>
        </w:tc>
        <w:tc>
          <w:tcPr>
            <w:tcW w:type="dxa" w:w="3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4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Part 1</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Terminology and Concepts</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Simplex, closure, perturbation, powering, Aitchison geometry. MC-4 failure modes. Compositional vs non-compositional data identification criteria.</w:t>
            </w:r>
          </w:p>
        </w:tc>
      </w:tr>
      <w:tr>
        <w:tc>
          <w:tcPr>
            <w:tcW w:type="dxa" w:w="14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Part 2</w:t>
            </w:r>
          </w:p>
        </w:tc>
        <w:tc>
          <w:tcPr>
            <w:tcW w:type="dxa" w:w="32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Measurement Methods</w:t>
            </w:r>
          </w:p>
        </w:tc>
        <w:tc>
          <w:tcPr>
            <w:tcW w:type="dxa" w:w="476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ILR/CLR/ALR transforms. Geometric mean averaging. Aitchison distance. Balance monitoring using SBP. Pairwise log-ratio analysis.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Part 3</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Temporal Aggregation</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Geometric-mean decimation. EITT residual as quality metric. d(CoDa)/dt as rate controller. Adaptive observation frequency.</w:t>
            </w:r>
          </w:p>
        </w:tc>
      </w:tr>
      <w:tr>
        <w:tc>
          <w:tcPr>
            <w:tcW w:type="dxa" w:w="14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Part 4</w:t>
            </w:r>
          </w:p>
        </w:tc>
        <w:tc>
          <w:tcPr>
            <w:tcW w:type="dxa" w:w="32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Dimensional Assessment</w:t>
            </w:r>
          </w:p>
        </w:tc>
        <w:tc>
          <w:tcPr>
            <w:tcW w:type="dxa" w:w="476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EITT Inversion for dimension selection. Amalgamation guidelines. Subcompositional coherence tests.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Part 5</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Compositional Process Control</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Balance control charts. Compositional alarms. Integration with ISO 7870 series. Six MC-4 failure mode detection.</w:t>
            </w:r>
          </w:p>
        </w:tc>
      </w:tr>
      <w:tr>
        <w:tc>
          <w:tcPr>
            <w:tcW w:type="dxa" w:w="14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Part 6</w:t>
            </w:r>
          </w:p>
        </w:tc>
        <w:tc>
          <w:tcPr>
            <w:tcW w:type="dxa" w:w="32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Application Guidelines</w:t>
            </w:r>
          </w:p>
        </w:tc>
        <w:tc>
          <w:tcPr>
            <w:tcW w:type="dxa" w:w="476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Sector-specific annexes: environmental monitoring (Ramsar, ISO 14001), energy systems, financial portfolios, manufacturing.</w:t>
            </w:r>
          </w:p>
        </w:tc>
      </w:tr>
    </w:tbl>
    <w:p>
      <w:r>
        <w:br w:type="page"/>
      </w:r>
    </w:p>
    <w:p>
      <w:pPr>
        <w:pStyle w:val="Heading1"/>
      </w:pPr>
      <w:r>
        <w:t xml:space="preserve">9. Standardization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760"/>
      </w:tblGrid>
      <w:tr>
        <w:tc>
          <w:tcPr>
            <w:tcW w:type="dxa" w:w="1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3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Actions</w:t>
            </w:r>
          </w:p>
        </w:tc>
        <w:tc>
          <w:tcPr>
            <w:tcW w:type="dxa" w:w="2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Stakeholders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Phase 0: Foundation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2026 (current)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CoDaWork presentation. Peer review of EITT. Publish empirical results. Engage CoDa community on formal proof.</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CoDa researchers, CoDaWork 2026 attendees</w:t>
            </w:r>
          </w:p>
        </w:tc>
      </w:tr>
      <w:tr>
        <w:tc>
          <w:tcPr>
            <w:tcW w:type="dxa" w:w="16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Phase 1: Community</w:t>
            </w:r>
          </w:p>
        </w:tc>
        <w:tc>
          <w:tcPr>
            <w:tcW w:type="dxa" w:w="20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2026–2027</w:t>
            </w:r>
          </w:p>
        </w:tc>
        <w:tc>
          <w:tcPr>
            <w:tcW w:type="dxa" w:w="30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Form MC-4 working group. Draft technical specification. Engage ISO/TC 69 national body members. Develop reference implementations.</w:t>
            </w:r>
          </w:p>
        </w:tc>
        <w:tc>
          <w:tcPr>
            <w:tcW w:type="dxa" w:w="276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CoDa community, ISO/TC 69 members, Ramsar STRP</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Phase 2: Proposal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2027–2028</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Submit New Work Item Proposal (NWIP) to TC 69. Provide formal proof of EITT bound. Pilot MC-4 with Ramsar test sites.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ISO national bodies, Ramsar Secretariat, STRP</w:t>
            </w:r>
          </w:p>
        </w:tc>
      </w:tr>
      <w:tr>
        <w:tc>
          <w:tcPr>
            <w:tcW w:type="dxa" w:w="16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Phase 3: Development</w:t>
            </w:r>
          </w:p>
        </w:tc>
        <w:tc>
          <w:tcPr>
            <w:tcW w:type="dxa" w:w="20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2028–2030</w:t>
            </w:r>
          </w:p>
        </w:tc>
        <w:tc>
          <w:tcPr>
            <w:tcW w:type="dxa" w:w="300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Working Draft → Committee Draft → Draft International Standard. Public comment. Sector-specific testing.</w:t>
            </w:r>
          </w:p>
        </w:tc>
        <w:tc>
          <w:tcPr>
            <w:tcW w:type="dxa" w:w="2760"/>
            <w:tcBorders>
              <w:top w:val="single" w:color="BBBBBB" w:sz="1"/>
              <w:left w:val="single" w:color="BBBBBB" w:sz="1"/>
              <w:bottom w:val="single" w:color="BBBBBB" w:sz="1"/>
              <w:right w:val="single" w:color="BBBBBB" w:sz="1"/>
            </w:tcBorders>
            <w:shd w:fill="EBF1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TC 69, liaising TCs, industry stakeholders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Phase 4: Publication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2030–2031</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Final Draft International Standard → Publication. Training material development. Certification framework.</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ISO members, certification bodies, CoDa trainers</w:t>
            </w:r>
          </w:p>
        </w:tc>
      </w:tr>
    </w:tbl>
    <w:p>
      <w:pPr>
        <w:pStyle w:val="Heading1"/>
      </w:pPr>
      <w:r>
        <w:t xml:space="preserve">10. Recommendations</w:t>
      </w:r>
    </w:p>
    <w:p>
      <w:pPr>
        <w:pStyle w:val="Heading2"/>
      </w:pPr>
      <w:r>
        <w:t xml:space="preserve">10.1 For the CoDa Community</w:t>
      </w:r>
    </w:p>
    <w:p>
      <w:pPr>
        <w:pStyle w:val="ListParagraph"/>
        <w:numPr>
          <w:ilvl w:val="0"/>
          <w:numId w:val="3"/>
        </w:numPr>
        <w:spacing w:after="60" w:before="60" w:line="276"/>
      </w:pPr>
      <w:r>
        <w:rPr>
          <w:rFonts w:ascii="Arial" w:cs="Arial" w:eastAsia="Arial" w:hAnsi="Arial"/>
          <w:b/>
          <w:bCs/>
          <w:color w:val="333333"/>
          <w:sz w:val="21"/>
          <w:szCs w:val="21"/>
        </w:rPr>
        <w:t xml:space="preserve">Prioritize the formal proof of the EITT bound </w:t>
      </w:r>
      <w:r>
        <w:rPr>
          <w:rFonts w:ascii="Arial" w:cs="Arial" w:eastAsia="Arial" w:hAnsi="Arial"/>
          <w:color w:val="333333"/>
          <w:sz w:val="21"/>
          <w:szCs w:val="21"/>
        </w:rPr>
        <w:t xml:space="preserve">(Open Problem O-1). This is the mathematical centrepiece that transforms empirical observation into theoretical guarantee. A tight bound on |δ_M| in terms of Aitchison variance and temporal dependence would be the strongest possible basis for standardization.</w:t>
      </w:r>
    </w:p>
    <w:p>
      <w:pPr>
        <w:pStyle w:val="ListParagraph"/>
        <w:numPr>
          <w:ilvl w:val="0"/>
          <w:numId w:val="3"/>
        </w:numPr>
        <w:spacing w:after="60" w:before="60" w:line="276"/>
      </w:pPr>
      <w:r>
        <w:rPr>
          <w:rFonts w:ascii="Arial" w:cs="Arial" w:eastAsia="Arial" w:hAnsi="Arial"/>
          <w:b/>
          <w:bCs/>
          <w:color w:val="333333"/>
          <w:sz w:val="21"/>
          <w:szCs w:val="21"/>
        </w:rPr>
        <w:t xml:space="preserve">Engage with ISO/TC 69 national body representatives. </w:t>
      </w:r>
      <w:r>
        <w:rPr>
          <w:rFonts w:ascii="Arial" w:cs="Arial" w:eastAsia="Arial" w:hAnsi="Arial"/>
          <w:color w:val="333333"/>
          <w:sz w:val="21"/>
          <w:szCs w:val="21"/>
        </w:rPr>
        <w:t xml:space="preserve">Standards are proposed through national standards bodies (ANSI, BSI, DIN, etc.). CoDa researchers in participating countries can initiate the conversation through their national ISO member.</w:t>
      </w:r>
    </w:p>
    <w:p>
      <w:pPr>
        <w:pStyle w:val="ListParagraph"/>
        <w:numPr>
          <w:ilvl w:val="0"/>
          <w:numId w:val="3"/>
        </w:numPr>
        <w:spacing w:after="60" w:before="60" w:line="276"/>
      </w:pPr>
      <w:r>
        <w:rPr>
          <w:rFonts w:ascii="Arial" w:cs="Arial" w:eastAsia="Arial" w:hAnsi="Arial"/>
          <w:b/>
          <w:bCs/>
          <w:color w:val="333333"/>
          <w:sz w:val="21"/>
          <w:szCs w:val="21"/>
        </w:rPr>
        <w:t xml:space="preserve">Develop reference software implementations. </w:t>
      </w:r>
      <w:r>
        <w:rPr>
          <w:rFonts w:ascii="Arial" w:cs="Arial" w:eastAsia="Arial" w:hAnsi="Arial"/>
          <w:color w:val="333333"/>
          <w:sz w:val="21"/>
          <w:szCs w:val="21"/>
        </w:rPr>
        <w:t xml:space="preserve">ISO standards require reproducible reference methods. Open-source CoDa toolkits (R compositions, Python CoDaPy) should be documented to standard-quality specification.</w:t>
      </w:r>
    </w:p>
    <w:p>
      <w:pPr>
        <w:pStyle w:val="Heading2"/>
      </w:pPr>
      <w:r>
        <w:t xml:space="preserve">10.2 For the Ramsar Convention</w:t>
      </w:r>
    </w:p>
    <w:p>
      <w:pPr>
        <w:pStyle w:val="ListParagraph"/>
        <w:numPr>
          <w:ilvl w:val="0"/>
          <w:numId w:val="4"/>
        </w:numPr>
        <w:spacing w:after="60" w:before="60" w:line="276"/>
      </w:pPr>
      <w:r>
        <w:rPr>
          <w:rFonts w:ascii="Arial" w:cs="Arial" w:eastAsia="Arial" w:hAnsi="Arial"/>
          <w:b/>
          <w:bCs/>
          <w:color w:val="333333"/>
          <w:sz w:val="21"/>
          <w:szCs w:val="21"/>
        </w:rPr>
        <w:t xml:space="preserve">Pilot MC-4 at selected Ramsar sites. </w:t>
      </w:r>
      <w:r>
        <w:rPr>
          <w:rFonts w:ascii="Arial" w:cs="Arial" w:eastAsia="Arial" w:hAnsi="Arial"/>
          <w:color w:val="333333"/>
          <w:sz w:val="21"/>
          <w:szCs w:val="21"/>
        </w:rPr>
        <w:t xml:space="preserve">Use existing national wetland inventory data to compute compositional balance indices, test EITT against the 3-year reporting cycle, and identify sites where compositional drift is occurring below the radar of current monitoring.</w:t>
      </w:r>
    </w:p>
    <w:p>
      <w:pPr>
        <w:pStyle w:val="ListParagraph"/>
        <w:numPr>
          <w:ilvl w:val="0"/>
          <w:numId w:val="4"/>
        </w:numPr>
        <w:spacing w:after="60" w:before="60" w:line="276"/>
      </w:pPr>
      <w:r>
        <w:rPr>
          <w:rFonts w:ascii="Arial" w:cs="Arial" w:eastAsia="Arial" w:hAnsi="Arial"/>
          <w:b/>
          <w:bCs/>
          <w:color w:val="333333"/>
          <w:sz w:val="21"/>
          <w:szCs w:val="21"/>
        </w:rPr>
        <w:t xml:space="preserve">Include MC-4 indicators in the COP16 indicator framework. </w:t>
      </w:r>
      <w:r>
        <w:rPr>
          <w:rFonts w:ascii="Arial" w:cs="Arial" w:eastAsia="Arial" w:hAnsi="Arial"/>
          <w:color w:val="333333"/>
          <w:sz w:val="21"/>
          <w:szCs w:val="21"/>
        </w:rPr>
        <w:t xml:space="preserve">Compositional balance of habitat types within national wetland portfolios, measured using Aitchison distance from a reference composition, provides a single indicator that captures what total-area metrics miss.</w:t>
      </w:r>
    </w:p>
    <w:p>
      <w:pPr>
        <w:pStyle w:val="Heading2"/>
      </w:pPr>
      <w:r>
        <w:t xml:space="preserve">10.3 For ISO/TC 69</w:t>
      </w:r>
    </w:p>
    <w:p>
      <w:pPr>
        <w:spacing w:after="60" w:before="60" w:line="276"/>
      </w:pPr>
      <w:r>
        <w:rPr>
          <w:rFonts w:ascii="Arial" w:cs="Arial" w:eastAsia="Arial" w:hAnsi="Arial"/>
          <w:color w:val="333333"/>
          <w:sz w:val="21"/>
          <w:szCs w:val="21"/>
        </w:rPr>
        <w:t xml:space="preserve">Consider a New Work Item on compositional measurement methodology. The mathematical foundation (Aitchison, 1982–present) is mature. The empirical evidence (EITT, 2026) provides testable claims. The application domains — environmental monitoring, energy systems, financial regulation, manufacturing process control — are precisely the domains TC 69 already serves. MC-4 is not a new discipline. It is the natural extension of existing statistical methods into the compositional space that these domains increasingly require.</w:t>
      </w:r>
    </w:p>
    <w:p>
      <w:pPr>
        <w:pStyle w:val="Heading1"/>
      </w:pPr>
      <w:r>
        <w:t xml:space="preserve">11. Closing Statement</w:t>
      </w:r>
    </w:p>
    <w:p>
      <w:pPr>
        <w:spacing w:after="60" w:before="6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W w:type="dxa" w:w="7800"/>
            <w:tcBorders>
              <w:top w:val="single" w:color="1B3A5C" w:sz="2"/>
              <w:left w:val="single" w:color="1B3A5C" w:sz="12"/>
              <w:bottom w:val="single" w:color="1B3A5C" w:sz="2"/>
              <w:right w:val="single" w:color="1B3A5C" w:sz="2"/>
            </w:tcBorders>
            <w:shd w:fill="EBF1F8" w:val="clear"/>
            <w:tcMar>
              <w:top w:type="dxa" w:w="200"/>
              <w:left w:type="dxa" w:w="300"/>
              <w:bottom w:type="dxa" w:w="200"/>
              <w:right w:type="dxa" w:w="300"/>
            </w:tcMar>
          </w:tcPr>
          <w:p>
            <w:pPr>
              <w:spacing w:after="120"/>
              <w:jc w:val="center"/>
            </w:pPr>
            <w:r>
              <w:rPr>
                <w:rFonts w:ascii="Arial" w:cs="Arial" w:eastAsia="Arial" w:hAnsi="Arial"/>
                <w:i/>
                <w:iCs/>
                <w:color w:val="1B3A5C"/>
                <w:sz w:val="24"/>
                <w:szCs w:val="24"/>
              </w:rPr>
              <w:t xml:space="preserve">The Aitchison geometry is not a correction you apply to data.</w:t>
            </w:r>
          </w:p>
          <w:p>
            <w:pPr>
              <w:spacing w:after="120"/>
              <w:jc w:val="center"/>
            </w:pPr>
            <w:r>
              <w:rPr>
                <w:rFonts w:ascii="Arial" w:cs="Arial" w:eastAsia="Arial" w:hAnsi="Arial"/>
                <w:i/>
                <w:iCs/>
                <w:color w:val="1B3A5C"/>
                <w:sz w:val="24"/>
                <w:szCs w:val="24"/>
              </w:rPr>
              <w:t xml:space="preserve">It is the geometry the data already lives in.</w:t>
            </w:r>
          </w:p>
          <w:p>
            <w:pPr>
              <w:spacing w:after="120"/>
              <w:jc w:val="center"/>
            </w:pPr>
            <w:r>
              <w:rPr>
                <w:rFonts w:ascii="Arial" w:cs="Arial" w:eastAsia="Arial" w:hAnsi="Arial"/>
                <w:i/>
                <w:iCs/>
                <w:color w:val="1B3A5C"/>
                <w:sz w:val="24"/>
                <w:szCs w:val="24"/>
              </w:rPr>
              <w:t xml:space="preserve">MC-4 does not add monitoring. It reveals the monitoring that was always missing.</w:t>
            </w:r>
          </w:p>
          <w:p>
            <w:pPr>
              <w:jc w:val="center"/>
            </w:pPr>
            <w:r>
              <w:rPr>
                <w:rFonts w:ascii="Arial" w:cs="Arial" w:eastAsia="Arial" w:hAnsi="Arial"/>
                <w:b/>
                <w:bCs/>
                <w:color w:val="1B3A5C"/>
                <w:sz w:val="24"/>
                <w:szCs w:val="24"/>
              </w:rPr>
              <w:t xml:space="preserve">The errors were never in HUF. They were in the assumption that the simplex is flat.</w:t>
            </w:r>
          </w:p>
        </w:tc>
      </w:tr>
    </w:tbl>
    <w:p>
      <w:pPr>
        <w:spacing w:after="200" w:before="200"/>
      </w:pPr>
    </w:p>
    <w:p>
      <w:pPr>
        <w:spacing w:after="60" w:before="60" w:line="276"/>
      </w:pPr>
      <w:r>
        <w:rPr>
          <w:rFonts w:ascii="Arial" w:cs="Arial" w:eastAsia="Arial" w:hAnsi="Arial"/>
          <w:color w:val="333333"/>
          <w:sz w:val="21"/>
          <w:szCs w:val="21"/>
        </w:rPr>
        <w:t xml:space="preserve">An ISO standard for compositional monitoring would not create a new obligation. It would name an existing one. Every system that tracks proportional balance — and every system that should but does not — would benefit from a standard that says: </w:t>
      </w:r>
      <w:r>
        <w:rPr>
          <w:rFonts w:ascii="Arial" w:cs="Arial" w:eastAsia="Arial" w:hAnsi="Arial"/>
          <w:i/>
          <w:iCs/>
          <w:color w:val="333333"/>
          <w:sz w:val="21"/>
          <w:szCs w:val="21"/>
        </w:rPr>
        <w:t xml:space="preserve">here is how you do this correctly, here is how you know when you are doing it wrong, and here is the mathematical framework that makes the difference measurable.</w:t>
      </w:r>
    </w:p>
    <w:p>
      <w:pPr>
        <w:spacing w:after="60" w:before="60"/>
      </w:pPr>
    </w:p>
    <w:p>
      <w:pPr>
        <w:spacing w:after="60" w:before="60" w:line="276"/>
      </w:pPr>
      <w:r>
        <w:rPr>
          <w:rFonts w:ascii="Arial" w:cs="Arial" w:eastAsia="Arial" w:hAnsi="Arial"/>
          <w:color w:val="333333"/>
          <w:sz w:val="21"/>
          <w:szCs w:val="21"/>
        </w:rPr>
        <w:t xml:space="preserve">That framework is CoDa. The standard is MC-4. The time is now.</w:t>
      </w:r>
    </w:p>
    <w:p>
      <w:pPr>
        <w:spacing w:after="200" w:before="200"/>
      </w:pPr>
    </w:p>
    <w:p>
      <w:pPr>
        <w:pBdr>
          <w:top w:val="single" w:color="1B3A5C" w:sz="2" w:space="1"/>
        </w:pBdr>
        <w:spacing w:after="40" w:before="200"/>
      </w:pPr>
      <w:r>
        <w:rPr>
          <w:rFonts w:ascii="Arial" w:cs="Arial" w:eastAsia="Arial" w:hAnsi="Arial"/>
          <w:b/>
          <w:bCs/>
          <w:color w:val="1B3A5C"/>
          <w:sz w:val="20"/>
          <w:szCs w:val="20"/>
        </w:rPr>
        <w:t xml:space="preserve">References and Resources</w:t>
      </w:r>
    </w:p>
    <w:p>
      <w:pPr>
        <w:spacing w:after="60" w:before="60" w:line="276"/>
      </w:pPr>
      <w:r>
        <w:rPr>
          <w:rFonts w:ascii="Arial" w:cs="Arial" w:eastAsia="Arial" w:hAnsi="Arial"/>
          <w:b/>
          <w:bCs/>
          <w:color w:val="333333"/>
          <w:sz w:val="19"/>
          <w:szCs w:val="19"/>
        </w:rPr>
        <w:t xml:space="preserve">Repository: </w:t>
      </w:r>
      <w:r>
        <w:rPr>
          <w:rFonts w:ascii="Arial" w:cs="Arial" w:eastAsia="Arial" w:hAnsi="Arial"/>
          <w:color w:val="333333"/>
          <w:sz w:val="19"/>
          <w:szCs w:val="19"/>
        </w:rPr>
        <w:t xml:space="preserve">github.com/PeterHiggins19/Higgins-Unity-Framework</w:t>
      </w:r>
    </w:p>
    <w:p>
      <w:pPr>
        <w:spacing w:after="60" w:before="60" w:line="276"/>
      </w:pPr>
      <w:r>
        <w:rPr>
          <w:rFonts w:ascii="Arial" w:cs="Arial" w:eastAsia="Arial" w:hAnsi="Arial"/>
          <w:b/>
          <w:bCs/>
          <w:color w:val="333333"/>
          <w:sz w:val="19"/>
          <w:szCs w:val="19"/>
        </w:rPr>
        <w:t xml:space="preserve">Mathematical formalization: </w:t>
      </w:r>
      <w:r>
        <w:rPr>
          <w:rFonts w:ascii="Arial" w:cs="Arial" w:eastAsia="Arial" w:hAnsi="Arial"/>
          <w:color w:val="333333"/>
          <w:sz w:val="19"/>
          <w:szCs w:val="19"/>
        </w:rPr>
        <w:t xml:space="preserve">EITT_CODA_MATHEMATICS.md (12 sections, 6 open problems)</w:t>
      </w:r>
    </w:p>
    <w:p>
      <w:pPr>
        <w:spacing w:after="60" w:before="60" w:line="276"/>
      </w:pPr>
      <w:r>
        <w:rPr>
          <w:rFonts w:ascii="Arial" w:cs="Arial" w:eastAsia="Arial" w:hAnsi="Arial"/>
          <w:b/>
          <w:bCs/>
          <w:color w:val="333333"/>
          <w:sz w:val="19"/>
          <w:szCs w:val="19"/>
        </w:rPr>
        <w:t xml:space="preserve">Scaling error evidence: </w:t>
      </w:r>
      <w:r>
        <w:rPr>
          <w:rFonts w:ascii="Arial" w:cs="Arial" w:eastAsia="Arial" w:hAnsi="Arial"/>
          <w:color w:val="333333"/>
          <w:sz w:val="19"/>
          <w:szCs w:val="19"/>
        </w:rPr>
        <w:t xml:space="preserve">SCALING_ERROR_ARGUMENT.md (5 scale types, all measured)</w:t>
      </w:r>
    </w:p>
    <w:p>
      <w:pPr>
        <w:spacing w:after="60" w:before="60" w:line="276"/>
      </w:pPr>
      <w:r>
        <w:rPr>
          <w:rFonts w:ascii="Arial" w:cs="Arial" w:eastAsia="Arial" w:hAnsi="Arial"/>
          <w:b/>
          <w:bCs/>
          <w:color w:val="333333"/>
          <w:sz w:val="19"/>
          <w:szCs w:val="19"/>
        </w:rPr>
        <w:t xml:space="preserve">Key references: </w:t>
      </w:r>
      <w:r>
        <w:rPr>
          <w:rFonts w:ascii="Arial" w:cs="Arial" w:eastAsia="Arial" w:hAnsi="Arial"/>
          <w:color w:val="333333"/>
          <w:sz w:val="19"/>
          <w:szCs w:val="19"/>
        </w:rPr>
        <w:t xml:space="preserve">Aitchison (1982, 1986); Egozcue et al. (2003); Pawlowsky-Glahn &amp; Egozcue (2001); Pawlowsky-Glahn, Egozcue &amp; Tolosana-Delgado (2015)</w:t>
      </w:r>
    </w:p>
    <w:p>
      <w:pPr>
        <w:spacing w:after="60" w:before="60" w:line="276"/>
      </w:pPr>
      <w:r>
        <w:rPr>
          <w:rFonts w:ascii="Arial" w:cs="Arial" w:eastAsia="Arial" w:hAnsi="Arial"/>
          <w:b/>
          <w:bCs/>
          <w:color w:val="333333"/>
          <w:sz w:val="19"/>
          <w:szCs w:val="19"/>
        </w:rPr>
        <w:t xml:space="preserve">ISO/TC 69: </w:t>
      </w:r>
      <w:r>
        <w:rPr>
          <w:rFonts w:ascii="Arial" w:cs="Arial" w:eastAsia="Arial" w:hAnsi="Arial"/>
          <w:color w:val="333333"/>
          <w:sz w:val="19"/>
          <w:szCs w:val="19"/>
        </w:rPr>
        <w:t xml:space="preserve">iso.org/committee/49742.html</w:t>
      </w:r>
    </w:p>
    <w:p>
      <w:pPr>
        <w:spacing w:after="60" w:before="60" w:line="276"/>
      </w:pPr>
      <w:r>
        <w:rPr>
          <w:rFonts w:ascii="Arial" w:cs="Arial" w:eastAsia="Arial" w:hAnsi="Arial"/>
          <w:b/>
          <w:bCs/>
          <w:color w:val="333333"/>
          <w:sz w:val="19"/>
          <w:szCs w:val="19"/>
        </w:rPr>
        <w:t xml:space="preserve">Contact: </w:t>
      </w:r>
      <w:r>
        <w:rPr>
          <w:rFonts w:ascii="Arial" w:cs="Arial" w:eastAsia="Arial" w:hAnsi="Arial"/>
          <w:color w:val="333333"/>
          <w:sz w:val="19"/>
          <w:szCs w:val="19"/>
        </w:rPr>
        <w:t xml:space="preserve">Peter Higgins — peterhiggins2016@gmail.com</w:t>
      </w:r>
    </w:p>
    <w:p>
      <w:pPr>
        <w:spacing w:after="60" w:before="60"/>
      </w:pPr>
    </w:p>
    <w:p>
      <w:pPr>
        <w:jc w:val="center"/>
      </w:pPr>
      <w:r>
        <w:rPr>
          <w:rFonts w:ascii="Arial" w:cs="Arial" w:eastAsia="Arial" w:hAnsi="Arial"/>
          <w:i/>
          <w:iCs/>
          <w:color w:val="666666"/>
          <w:sz w:val="18"/>
          <w:szCs w:val="18"/>
        </w:rPr>
        <w:t xml:space="preserve">Multi-AI adversarial review (Claude, ChatGPT, Grok, Gemini, Copilot) applied throughout.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pPr>
    <w:r>
      <w:rPr>
        <w:rFonts w:ascii="Arial" w:cs="Arial" w:eastAsia="Arial" w:hAnsi="Arial"/>
        <w:color w:val="666666"/>
        <w:sz w:val="16"/>
        <w:szCs w:val="16"/>
      </w:rPr>
      <w:t xml:space="preserve">Higgins Unity Framework  |  CoDaWork 2026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tabs>
        <w:tab w:val="right" w:pos="9026"/>
      </w:tabs>
      <w:spacing w:after="120"/>
    </w:pPr>
    <w:r>
      <w:rPr>
        <w:rFonts w:ascii="Arial" w:cs="Arial" w:eastAsia="Arial" w:hAnsi="Arial"/>
        <w:b/>
        <w:bCs/>
        <w:color w:val="1B3A5C"/>
        <w:sz w:val="18"/>
        <w:szCs w:val="18"/>
      </w:rPr>
      <w:t xml:space="preserve">MC-4 Composition Monitoring</w:t>
    </w:r>
    <w:r>
      <w:rPr>
        <w:rFonts w:ascii="Arial" w:cs="Arial" w:eastAsia="Arial" w:hAnsi="Arial"/>
        <w:color w:val="666666"/>
        <w:sz w:val="18"/>
        <w:szCs w:val="18"/>
      </w:rPr>
      <w:t xml:space="preserve">	ISO Positioning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C78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2026-04-10T12:39:55.047Z</dcterms:created>
  <dcterms:modified xsi:type="dcterms:W3CDTF">2026-04-10T12:39:55.047Z</dcterms:modified>
</cp:coreProperties>
</file>

<file path=docProps/custom.xml><?xml version="1.0" encoding="utf-8"?>
<Properties xmlns="http://schemas.openxmlformats.org/officeDocument/2006/custom-properties" xmlns:vt="http://schemas.openxmlformats.org/officeDocument/2006/docPropsVTypes"/>
</file>