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3A5F"/>
          <w:sz w:val="36"/>
          <w:szCs w:val="36"/>
        </w:rPr>
        <w:t xml:space="preserve">EITT on the Chemical Simplex</w:t>
      </w:r>
    </w:p>
    <w:p>
      <w:pPr>
        <w:spacing w:after="40"/>
        <w:jc w:val="center"/>
      </w:pPr>
      <w:r>
        <w:rPr>
          <w:rFonts w:ascii="Arial" w:cs="Arial" w:eastAsia="Arial" w:hAnsi="Arial"/>
          <w:color w:val="0D5C5C"/>
          <w:sz w:val="24"/>
          <w:szCs w:val="24"/>
        </w:rPr>
        <w:t xml:space="preserve">Entropy Invariance, Boundary Geometry, and Diagnostic Lenses</w:t>
      </w:r>
    </w:p>
    <w:p>
      <w:pPr>
        <w:spacing w:after="40"/>
        <w:jc w:val="center"/>
      </w:pPr>
      <w:r>
        <w:rPr>
          <w:rFonts w:ascii="Arial" w:cs="Arial" w:eastAsia="Arial" w:hAnsi="Arial"/>
          <w:color w:val="0D5C5C"/>
          <w:sz w:val="24"/>
          <w:szCs w:val="24"/>
        </w:rPr>
        <w:t xml:space="preserve">for Compositional Data Analysis on Multi-Modal Mixture Data</w:t>
      </w:r>
    </w:p>
    <w:p>
      <w:pPr>
        <w:spacing w:after="200"/>
        <w:jc w:val="center"/>
      </w:pPr>
      <w:r>
        <w:rPr>
          <w:rFonts w:ascii="Arial" w:cs="Arial" w:eastAsia="Arial" w:hAnsi="Arial"/>
          <w:color w:val="666666"/>
          <w:sz w:val="20"/>
          <w:szCs w:val="20"/>
        </w:rPr>
        <w:t xml:space="preserve">Peter Higgins  |  Rogue Wave Audio  |  April 2026</w:t>
      </w:r>
    </w:p>
    <w:p>
      <w:pPr>
        <w:spacing w:after="60"/>
        <w:jc w:val="center"/>
      </w:pPr>
      <w:r>
        <w:rPr>
          <w:rFonts w:ascii="Arial" w:cs="Arial" w:eastAsia="Arial" w:hAnsi="Arial"/>
          <w:i/>
          <w:iCs/>
          <w:color w:val="888888"/>
          <w:sz w:val="18"/>
          <w:szCs w:val="18"/>
        </w:rPr>
        <w:t xml:space="preserve">Prepared for CoDaWork 2026, Coimbra  |  HUF-GOV: Measure, Report, File</w:t>
      </w:r>
    </w:p>
    <w:p>
      <w:pPr>
        <w:spacing w:after="300"/>
        <w:jc w:val="center"/>
      </w:pPr>
      <w:r>
        <w:rPr>
          <w:rFonts w:ascii="Arial" w:cs="Arial" w:eastAsia="Arial" w:hAnsi="Arial"/>
          <w:color w:val="1E3A5F"/>
          <w:sz w:val="18"/>
          <w:szCs w:val="18"/>
        </w:rPr>
        <w:t xml:space="preserve">github.com/PeterHiggins19/Higgins-Unity-Framework</w:t>
      </w:r>
    </w:p>
    <w:p>
      <w:pPr>
        <w:pStyle w:val="Heading1"/>
        <w:spacing w:after="120" w:before="240"/>
      </w:pPr>
      <w:r>
        <w:rPr>
          <w:rFonts w:ascii="Arial" w:cs="Arial" w:eastAsia="Arial" w:hAnsi="Arial"/>
          <w:b/>
          <w:bCs/>
          <w:sz w:val="28"/>
          <w:szCs w:val="28"/>
        </w:rPr>
        <w:t xml:space="preserve">1. Context and Purpose</w:t>
      </w:r>
    </w:p>
    <w:p>
      <w:pPr>
        <w:spacing w:after="120"/>
      </w:pPr>
      <w:r>
        <w:rPr>
          <w:rFonts w:ascii="Arial" w:cs="Arial" w:eastAsia="Arial" w:hAnsi="Arial"/>
          <w:sz w:val="21"/>
          <w:szCs w:val="21"/>
        </w:rPr>
        <w:t xml:space="preserve">EITT (Entropy Invariance under Temporal Transformation) was originally confirmed on energy-market and financial compositions, where Shannon entropy of share vectors appears near-invariant under geometric-mean block decimation. Those domains have temporal autocorrelation, market conventions, and relatively well-mixed compositions. A natural question arises: does the invariance live in the Aitchison geometry of the simplex itself, or does it require the temporal structure of the signal?</w:t>
      </w:r>
    </w:p>
    <w:p>
      <w:pPr>
        <w:spacing w:after="120"/>
      </w:pPr>
      <w:r>
        <w:rPr>
          <w:rFonts w:ascii="Arial" w:cs="Arial" w:eastAsia="Arial" w:hAnsi="Arial"/>
          <w:sz w:val="21"/>
          <w:szCs w:val="21"/>
        </w:rPr>
        <w:t xml:space="preserve">To answer this, we tested EITT on chemical mixture compositions from the CheMixHub benchmark, covering approximately 500,000 data points across seven public datasets: ionic-liquid transport properties, organic viscosity, drug solubility, polymer electrolytes, miscible solvents, medicine formulations, and motor octane number mixtures. Mole fractions are compositions by physical law, not by arbitrary normalisation. The constraints are fundamental: mass balance, charge balance, stoichiometry, phase rules. If EITT holds in chemistry, the invariance is geometric. If it fails, the failure mode tells us what additional structure the invariance requires.</w:t>
      </w:r>
    </w:p>
    <w:p>
      <w:pPr>
        <w:spacing w:after="120"/>
      </w:pPr>
      <w:r>
        <w:rPr>
          <w:rFonts w:ascii="Arial" w:cs="Arial" w:eastAsia="Arial" w:hAnsi="Arial"/>
          <w:sz w:val="21"/>
          <w:szCs w:val="21"/>
        </w:rPr>
        <w:t xml:space="preserve">The answer is both. The invariance partially holds, partially fails, and the failure modes are themselves diagnostic tools with applications well beyond the original EITT question.</w:t>
      </w:r>
    </w:p>
    <w:p>
      <w:pPr>
        <w:pStyle w:val="Heading1"/>
        <w:spacing w:after="120" w:before="240"/>
      </w:pPr>
      <w:r>
        <w:rPr>
          <w:rFonts w:ascii="Arial" w:cs="Arial" w:eastAsia="Arial" w:hAnsi="Arial"/>
          <w:b/>
          <w:bCs/>
          <w:sz w:val="28"/>
          <w:szCs w:val="28"/>
        </w:rPr>
        <w:t xml:space="preserve">2. Empirical Results: Four Lenses on the Chemical Simplex</w:t>
      </w:r>
    </w:p>
    <w:p>
      <w:pPr>
        <w:spacing w:after="120"/>
      </w:pPr>
      <w:r>
        <w:rPr>
          <w:rFonts w:ascii="Arial" w:cs="Arial" w:eastAsia="Arial" w:hAnsi="Arial"/>
          <w:sz w:val="21"/>
          <w:szCs w:val="21"/>
        </w:rPr>
        <w:t xml:space="preserve">We tested EITT using four metrics simultaneously, each representing a different way of measuring compositional change under geometric-mean decimation. We call these diagnostic lenses. The raw Shannon entropy is the standard EITT metric. The Jensen-corrected Shannon subtracts the expected Hessian-based curvature bias. The collision entropy uses the order-2 member of the full entropy family. The Aitchison norm measures distance from the neutral element using the simplex’s own Riemannian metric.</w:t>
      </w:r>
    </w:p>
    <w:p>
      <w:pPr>
        <w:spacing w:after="120"/>
      </w:pPr>
      <w:r>
        <w:rPr>
          <w:rFonts w:ascii="Arial" w:cs="Arial" w:eastAsia="Arial" w:hAnsi="Arial"/>
          <w:sz w:val="21"/>
          <w:szCs w:val="21"/>
        </w:rPr>
        <w:t xml:space="preserve">Results are split by simplex region: interior compositions where all parts exceed 5%, and boundary compositions where at least one part falls below 5%.</w:t>
      </w:r>
    </w:p>
    <w:p>
      <w:pPr>
        <w:spacing w:after="80" w:before="160"/>
      </w:pPr>
      <w:r>
        <w:rPr>
          <w:rFonts w:ascii="Arial" w:cs="Arial" w:eastAsia="Arial" w:hAnsi="Arial"/>
          <w:b/>
          <w:bCs/>
          <w:sz w:val="19"/>
          <w:szCs w:val="19"/>
        </w:rPr>
        <w:t xml:space="preserve">Table 1: Four-Lens EITT Results on CheMixHub (pass rate | mean |delta|)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400"/>
        <w:gridCol w:w="1400"/>
        <w:gridCol w:w="1400"/>
        <w:gridCol w:w="1400"/>
      </w:tblGrid>
      <w:tr>
        <w:tc>
          <w:tcPr>
            <w:tcW w:type="dxa" w:w="22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Dataset (Region)</w:t>
            </w:r>
          </w:p>
        </w:tc>
        <w:tc>
          <w:tcPr>
            <w:tcW w:type="dxa" w:w="11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Groups</w:t>
            </w:r>
          </w:p>
        </w:tc>
        <w:tc>
          <w:tcPr>
            <w:tcW w:type="dxa" w:w="14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Raw Shannon</w:t>
            </w:r>
          </w:p>
        </w:tc>
        <w:tc>
          <w:tcPr>
            <w:tcW w:type="dxa" w:w="14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Jensen Corr.</w:t>
            </w:r>
          </w:p>
        </w:tc>
        <w:tc>
          <w:tcPr>
            <w:tcW w:type="dxa" w:w="14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Rényi q=2</w:t>
            </w:r>
          </w:p>
        </w:tc>
        <w:tc>
          <w:tcPr>
            <w:tcW w:type="dxa" w:w="14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Aitchison</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sz w:val="19"/>
                <w:szCs w:val="19"/>
              </w:rPr>
              <w:t xml:space="preserve">Drug Solubility (all interior)</w:t>
            </w:r>
          </w:p>
        </w:tc>
        <w:tc>
          <w:tcPr>
            <w:tcW w:type="dxa" w:w="1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sz w:val="19"/>
                <w:szCs w:val="19"/>
              </w:rPr>
              <w:t xml:space="preserve">37</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9"/>
                <w:szCs w:val="19"/>
              </w:rPr>
              <w:t xml:space="preserve">73.0% | 1.37%</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sz w:val="19"/>
                <w:szCs w:val="19"/>
              </w:rPr>
              <w:t xml:space="preserve">0.0% | 9.32%</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sz w:val="19"/>
                <w:szCs w:val="19"/>
              </w:rPr>
              <w:t xml:space="preserve">56.8% | 1.84%</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sz w:val="19"/>
                <w:szCs w:val="19"/>
              </w:rPr>
              <w:t xml:space="preserve">52.7% | 3.59%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Polymer Electrolyte (interior)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24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81.8% | 1.95%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27.3% | 7.54%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77.3% | 2.52%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68.2% | 3.11%</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9"/>
                <w:szCs w:val="19"/>
              </w:rPr>
              <w:t xml:space="preserve">Polymer Electrolyte (boundary)</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9"/>
                <w:szCs w:val="19"/>
              </w:rPr>
              <w:t xml:space="preserve">24</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9"/>
                <w:szCs w:val="19"/>
              </w:rPr>
              <w:t xml:space="preserve">42.3% | 3.80%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9"/>
                <w:szCs w:val="19"/>
              </w:rPr>
              <w:t xml:space="preserve">11.5% | 7.23%</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9"/>
                <w:szCs w:val="19"/>
              </w:rPr>
              <w:t xml:space="preserve">38.5% | 4.02%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57.7% | 4.00%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Ionic Liquids (interior)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450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54.0% | 4.06%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20.0% | 9.66%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54.0% | 4.87%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44.0% | 9.03%</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9"/>
                <w:szCs w:val="19"/>
              </w:rPr>
              <w:t xml:space="preserve">Ionic Liquids (boundary)</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9"/>
                <w:szCs w:val="19"/>
              </w:rPr>
              <w:t xml:space="preserve">450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9"/>
                <w:szCs w:val="19"/>
              </w:rPr>
              <w:t xml:space="preserve">36.0% | 5.03%</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9"/>
                <w:szCs w:val="19"/>
              </w:rPr>
              <w:t xml:space="preserve">0.0% | 476%</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9"/>
                <w:szCs w:val="19"/>
              </w:rPr>
              <w:t xml:space="preserve">38.0% | 6.15%</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9"/>
                <w:szCs w:val="19"/>
              </w:rPr>
              <w:t xml:space="preserve">38.0% | 5.00%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NIST Organic Viscosity (int.)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2572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45.3% | 3.25%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10.5% | 9.39%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41.9% | 4.40%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39.5% | 6.97%</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9"/>
                <w:szCs w:val="19"/>
              </w:rPr>
              <w:t xml:space="preserve">NIST Organic Viscosity (bnd.)</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9"/>
                <w:szCs w:val="19"/>
              </w:rPr>
              <w:t xml:space="preserve">2572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9"/>
                <w:szCs w:val="19"/>
              </w:rPr>
              <w:t xml:space="preserve">35.7% | 12.12%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9"/>
                <w:szCs w:val="19"/>
              </w:rPr>
              <w:t xml:space="preserve">0.0% | 36.7%</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9"/>
                <w:szCs w:val="19"/>
              </w:rPr>
              <w:t xml:space="preserve">35.7% | 16.2%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9"/>
                <w:szCs w:val="19"/>
              </w:rPr>
              <w:t xml:space="preserve">42.9% | 2.49%</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sz w:val="19"/>
                <w:szCs w:val="19"/>
              </w:rPr>
              <w:t xml:space="preserve">logV (all interior)</w:t>
            </w:r>
          </w:p>
        </w:tc>
        <w:tc>
          <w:tcPr>
            <w:tcW w:type="dxa" w:w="1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sz w:val="19"/>
                <w:szCs w:val="19"/>
              </w:rPr>
              <w:t xml:space="preserve">301</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9"/>
                <w:szCs w:val="19"/>
              </w:rPr>
              <w:t xml:space="preserve">52.0% | 2.82%</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sz w:val="19"/>
                <w:szCs w:val="19"/>
              </w:rPr>
              <w:t xml:space="preserve">17.0% | 7.85%</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sz w:val="19"/>
                <w:szCs w:val="19"/>
              </w:rPr>
              <w:t xml:space="preserve">46.0% | 3.38%</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val="false"/>
                <w:bCs w:val="false"/>
                <w:sz w:val="19"/>
                <w:szCs w:val="19"/>
              </w:rPr>
              <w:t xml:space="preserve">39.0% | 7.53%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Miscible Solvents D=3 (int.)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9"/>
                <w:szCs w:val="19"/>
              </w:rPr>
              <w:t xml:space="preserve">100% | 0.004%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0.0% | 5.06%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100% | 0.01%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100% | 0.02%</w:t>
            </w:r>
          </w:p>
        </w:tc>
      </w:tr>
    </w:tbl>
    <w:p>
      <w:pPr>
        <w:spacing w:after="120"/>
      </w:pPr>
      <w:r>
        <w:rPr>
          <w:rFonts w:ascii="Arial" w:cs="Arial" w:eastAsia="Arial" w:hAnsi="Arial"/>
          <w:i/>
          <w:iCs/>
          <w:color w:val="555555"/>
          <w:sz w:val="21"/>
          <w:szCs w:val="21"/>
        </w:rPr>
        <w:t xml:space="preserve">Bold entries mark the best-performing lens for that row. Interior = min(x_i) ≥ 0.05. Boundary = min(x_i) &lt; 0.05.</w:t>
      </w:r>
    </w:p>
    <w:p>
      <w:r>
        <w:br w:type="page"/>
      </w:r>
    </w:p>
    <w:p>
      <w:pPr>
        <w:pStyle w:val="Heading1"/>
        <w:spacing w:after="120" w:before="240"/>
      </w:pPr>
      <w:r>
        <w:rPr>
          <w:rFonts w:ascii="Arial" w:cs="Arial" w:eastAsia="Arial" w:hAnsi="Arial"/>
          <w:b/>
          <w:bCs/>
          <w:sz w:val="28"/>
          <w:szCs w:val="28"/>
        </w:rPr>
        <w:t xml:space="preserve">3. Failure Taxonomy: From Worst to Best</w:t>
      </w:r>
    </w:p>
    <w:p>
      <w:pPr>
        <w:spacing w:after="120"/>
      </w:pPr>
      <w:r>
        <w:rPr>
          <w:rFonts w:ascii="Arial" w:cs="Arial" w:eastAsia="Arial" w:hAnsi="Arial"/>
          <w:sz w:val="21"/>
          <w:szCs w:val="21"/>
        </w:rPr>
        <w:t xml:space="preserve">We rank the four diagnostic lenses from worst to best, analysing each failure mode for what it reveals about the geometry of the simplex and what it offers to adjacent fields.</w:t>
      </w:r>
    </w:p>
    <w:p>
      <w:pPr>
        <w:pStyle w:val="Heading2"/>
        <w:spacing w:after="120" w:before="240"/>
      </w:pPr>
      <w:r>
        <w:rPr>
          <w:rFonts w:ascii="Arial" w:cs="Arial" w:eastAsia="Arial" w:hAnsi="Arial"/>
          <w:b/>
          <w:bCs/>
          <w:sz w:val="24"/>
          <w:szCs w:val="24"/>
        </w:rPr>
        <w:t xml:space="preserve">3.1  Jensen Correction: The Overcorrected Prescription</w:t>
      </w:r>
    </w:p>
    <w:p>
      <w:pPr>
        <w:spacing w:after="120"/>
      </w:pPr>
      <w:r>
        <w:rPr>
          <w:rFonts w:ascii="Arial" w:cs="Arial" w:eastAsia="Arial" w:hAnsi="Arial"/>
          <w:b/>
          <w:bCs/>
          <w:sz w:val="21"/>
          <w:szCs w:val="21"/>
        </w:rPr>
        <w:t xml:space="preserve">Performance: </w:t>
      </w:r>
      <w:r>
        <w:rPr>
          <w:rFonts w:ascii="Arial" w:cs="Arial" w:eastAsia="Arial" w:hAnsi="Arial"/>
          <w:sz w:val="21"/>
          <w:szCs w:val="21"/>
        </w:rPr>
        <w:t xml:space="preserve">Worst overall. 0–20% pass rates. Residuals exceeding 400% at boundary compositions.</w:t>
      </w:r>
    </w:p>
    <w:p>
      <w:pPr>
        <w:spacing w:after="120"/>
      </w:pPr>
      <w:r>
        <w:rPr>
          <w:rFonts w:ascii="Arial" w:cs="Arial" w:eastAsia="Arial" w:hAnsi="Arial"/>
          <w:b/>
          <w:bCs/>
          <w:sz w:val="21"/>
          <w:szCs w:val="21"/>
        </w:rPr>
        <w:t xml:space="preserve">Mechanism: </w:t>
      </w:r>
      <w:r>
        <w:rPr>
          <w:rFonts w:ascii="Arial" w:cs="Arial" w:eastAsia="Arial" w:hAnsi="Arial"/>
          <w:sz w:val="21"/>
          <w:szCs w:val="21"/>
        </w:rPr>
        <w:t xml:space="preserve">The correction subtracts the expected Hessian-based bias: Δ_corrected = Δ_raw − (1/2M) × Σ(var_i / x̅_i). This is a second-order Taylor expansion that assumes compositions are small perturbations around a mean. Composition sweeps traverse large arcs of the simplex where the expansion diverges.</w:t>
      </w:r>
    </w:p>
    <w:p>
      <w:pPr>
        <w:spacing w:after="120"/>
      </w:pPr>
      <w:r>
        <w:rPr>
          <w:rFonts w:ascii="Arial" w:cs="Arial" w:eastAsia="Arial" w:hAnsi="Arial"/>
          <w:b/>
          <w:bCs/>
          <w:sz w:val="21"/>
          <w:szCs w:val="21"/>
        </w:rPr>
        <w:t xml:space="preserve">Why it fails: </w:t>
      </w:r>
      <w:r>
        <w:rPr>
          <w:rFonts w:ascii="Arial" w:cs="Arial" w:eastAsia="Arial" w:hAnsi="Arial"/>
          <w:sz w:val="21"/>
          <w:szCs w:val="21"/>
        </w:rPr>
        <w:t xml:space="preserve">Near the boundary, x̅_i is small and the 1/x̅_i term dominates. The correction exceeds the signal by orders of magnitude. This is a local approximation applied to a global traversal.</w:t>
      </w:r>
    </w:p>
    <w:p>
      <w:pPr>
        <w:spacing w:after="120"/>
      </w:pPr>
      <w:r>
        <w:rPr>
          <w:rFonts w:ascii="Arial" w:cs="Arial" w:eastAsia="Arial" w:hAnsi="Arial"/>
          <w:sz w:val="21"/>
          <w:szCs w:val="21"/>
        </w:rPr>
        <w:t xml:space="preserve">What this reveals for compositional inference: The Hessian of Shannon entropy on the simplex is the Fisher information matrix for the multinomial family. Our empirical demonstration that this Hessian varies by orders of magnitude across the simplex is a direct, data-driven illustration of what information geometry predicts theoretically. For practitioners performing maximum likelihood estimation or compositional regression near the boundary of the simplex, this result provides a quantified warning. Symmetric confidence intervals computed from the Fisher information at the geometric mean will be unreliable when any component falls below approximately 5%. The 476% overcorrection at the ionic-liquid boundary is not a failure of the Jensen lens per se; it is a measurement of how strongly the curvature of the entropy surface varies across the simplex. Analytical chemists performing trace-level detection, where one component may constitute less than 1% of the mixture, should expect their entropy-based quality metrics to be highly sensitive to small compositional shifts. This sensitivity is not noise. It is geometry.</w:t>
      </w:r>
    </w:p>
    <w:p>
      <w:pPr>
        <w:pStyle w:val="Heading2"/>
        <w:spacing w:after="120" w:before="240"/>
      </w:pPr>
      <w:r>
        <w:rPr>
          <w:rFonts w:ascii="Arial" w:cs="Arial" w:eastAsia="Arial" w:hAnsi="Arial"/>
          <w:b/>
          <w:bCs/>
          <w:sz w:val="24"/>
          <w:szCs w:val="24"/>
        </w:rPr>
        <w:t xml:space="preserve">3.2  Collision Entropy: The Wrong Tint</w:t>
      </w:r>
    </w:p>
    <w:p>
      <w:pPr>
        <w:spacing w:after="120"/>
      </w:pPr>
      <w:r>
        <w:rPr>
          <w:rFonts w:ascii="Arial" w:cs="Arial" w:eastAsia="Arial" w:hAnsi="Arial"/>
          <w:b/>
          <w:bCs/>
          <w:sz w:val="21"/>
          <w:szCs w:val="21"/>
        </w:rPr>
        <w:t xml:space="preserve">Performance: </w:t>
      </w:r>
      <w:r>
        <w:rPr>
          <w:rFonts w:ascii="Arial" w:cs="Arial" w:eastAsia="Arial" w:hAnsi="Arial"/>
          <w:sz w:val="21"/>
          <w:szCs w:val="21"/>
        </w:rPr>
        <w:t xml:space="preserve">Marginally worse than raw Shannon in most cases. 38–77% pass rates.</w:t>
      </w:r>
    </w:p>
    <w:p>
      <w:pPr>
        <w:spacing w:after="120"/>
      </w:pPr>
      <w:r>
        <w:rPr>
          <w:rFonts w:ascii="Arial" w:cs="Arial" w:eastAsia="Arial" w:hAnsi="Arial"/>
          <w:b/>
          <w:bCs/>
          <w:sz w:val="21"/>
          <w:szCs w:val="21"/>
        </w:rPr>
        <w:t xml:space="preserve">Mechanism: </w:t>
      </w:r>
      <w:r>
        <w:rPr>
          <w:rFonts w:ascii="Arial" w:cs="Arial" w:eastAsia="Arial" w:hAnsi="Arial"/>
          <w:sz w:val="21"/>
          <w:szCs w:val="21"/>
        </w:rPr>
        <w:t xml:space="preserve">H_2(x) = −ln(Σ x_i²) down-weights rare components relative to Shannon. The intent was to reduce boundary sensitivity by reducing the contribution of small x_i.</w:t>
      </w:r>
    </w:p>
    <w:p>
      <w:pPr>
        <w:spacing w:after="120"/>
      </w:pPr>
      <w:r>
        <w:rPr>
          <w:rFonts w:ascii="Arial" w:cs="Arial" w:eastAsia="Arial" w:hAnsi="Arial"/>
          <w:b/>
          <w:bCs/>
          <w:sz w:val="21"/>
          <w:szCs w:val="21"/>
        </w:rPr>
        <w:t xml:space="preserve">Why it underperforms: </w:t>
      </w:r>
      <w:r>
        <w:rPr>
          <w:rFonts w:ascii="Arial" w:cs="Arial" w:eastAsia="Arial" w:hAnsi="Arial"/>
          <w:sz w:val="21"/>
          <w:szCs w:val="21"/>
        </w:rPr>
        <w:t xml:space="preserve">The fundamental issue is not which entropy order you use. It is that any concave function averaged over a large arc of the simplex produces a Jensen gap between the function of the mean and the mean of the function. Changing from q=1 to q=2 shifts the curvature profile but does not eliminate it. Moreover, H_2 has steeper curvature in the mid-simplex where Shannon is locally flat, degrading performance in the very region where raw Shannon excels.</w:t>
      </w:r>
    </w:p>
    <w:p>
      <w:pPr>
        <w:spacing w:after="120"/>
      </w:pPr>
      <w:r>
        <w:rPr>
          <w:rFonts w:ascii="Arial" w:cs="Arial" w:eastAsia="Arial" w:hAnsi="Arial"/>
          <w:sz w:val="21"/>
          <w:szCs w:val="21"/>
        </w:rPr>
        <w:t xml:space="preserve">What this constrains for the entropy family: The confirmed generalisation of EITT across the full family from q=0.1 to q=5.0 was established on temporal data with high autocorrelation and locally concentrated compositions. The chemistry result shows that this generalisation has a domain boundary. When compositions traverse large portions of the simplex rather than fluctuating locally, different entropy orders exhibit different failure profiles. Shannon is optimal for broad compositional surveys because its curvature is gentlest in the interior. Higher orders are preferable only when compositions remain in a small neighbourhood, as they do in temporal monitoring. This provides practitioners with a selection principle: use q=1 for exploratory compositional analysis across diverse mixtures; use higher q for real-time monitoring of a stable process.</w:t>
      </w:r>
    </w:p>
    <w:p>
      <w:pPr>
        <w:pStyle w:val="Heading2"/>
        <w:spacing w:after="120" w:before="240"/>
      </w:pPr>
      <w:r>
        <w:rPr>
          <w:rFonts w:ascii="Arial" w:cs="Arial" w:eastAsia="Arial" w:hAnsi="Arial"/>
          <w:b/>
          <w:bCs/>
          <w:sz w:val="24"/>
          <w:szCs w:val="24"/>
        </w:rPr>
        <w:t xml:space="preserve">3.3  Aitchison Norm: The Boundary Specialist</w:t>
      </w:r>
    </w:p>
    <w:p>
      <w:pPr>
        <w:spacing w:after="120"/>
      </w:pPr>
      <w:r>
        <w:rPr>
          <w:rFonts w:ascii="Arial" w:cs="Arial" w:eastAsia="Arial" w:hAnsi="Arial"/>
          <w:b/>
          <w:bCs/>
          <w:sz w:val="21"/>
          <w:szCs w:val="21"/>
        </w:rPr>
        <w:t xml:space="preserve">Performance: </w:t>
      </w:r>
      <w:r>
        <w:rPr>
          <w:rFonts w:ascii="Arial" w:cs="Arial" w:eastAsia="Arial" w:hAnsi="Arial"/>
          <w:sz w:val="21"/>
          <w:szCs w:val="21"/>
        </w:rPr>
        <w:t xml:space="preserve">Best at the boundary. NIST boundary: 42.9% pass at 2.49% residual vs 35.7% at 12.12% for raw Shannon. Polymer boundary: 57.7% vs 42.3%.</w:t>
      </w:r>
    </w:p>
    <w:p>
      <w:pPr>
        <w:spacing w:after="120"/>
      </w:pPr>
      <w:r>
        <w:rPr>
          <w:rFonts w:ascii="Arial" w:cs="Arial" w:eastAsia="Arial" w:hAnsi="Arial"/>
          <w:b/>
          <w:bCs/>
          <w:sz w:val="21"/>
          <w:szCs w:val="21"/>
        </w:rPr>
        <w:t xml:space="preserve">Mechanism: </w:t>
      </w:r>
      <w:r>
        <w:rPr>
          <w:rFonts w:ascii="Arial" w:cs="Arial" w:eastAsia="Arial" w:hAnsi="Arial"/>
          <w:sz w:val="21"/>
          <w:szCs w:val="21"/>
        </w:rPr>
        <w:t xml:space="preserve">d_A(x, n) = ‖clr(x) − clr(n)‖ measures the Aitchison distance from the neutral element (uniform composition) using the simplex’s Riemannian metric. This metric has uniform curvature everywhere by construction.</w:t>
      </w:r>
    </w:p>
    <w:p>
      <w:pPr>
        <w:spacing w:after="120"/>
      </w:pPr>
      <w:r>
        <w:rPr>
          <w:rFonts w:ascii="Arial" w:cs="Arial" w:eastAsia="Arial" w:hAnsi="Arial"/>
          <w:b/>
          <w:bCs/>
          <w:sz w:val="21"/>
          <w:szCs w:val="21"/>
        </w:rPr>
        <w:t xml:space="preserve">Interior trade-off: </w:t>
      </w:r>
      <w:r>
        <w:rPr>
          <w:rFonts w:ascii="Arial" w:cs="Arial" w:eastAsia="Arial" w:hAnsi="Arial"/>
          <w:sz w:val="21"/>
          <w:szCs w:val="21"/>
        </w:rPr>
        <w:t xml:space="preserve">68.2% vs 81.8% for Shannon on polymer-electrolyte interior. The norm is more sensitive to compositional shifts in the well-mixed region where Shannon is locally flat.</w:t>
      </w:r>
    </w:p>
    <w:p>
      <w:pPr>
        <w:spacing w:after="120"/>
      </w:pPr>
      <w:r>
        <w:rPr>
          <w:rFonts w:ascii="Arial" w:cs="Arial" w:eastAsia="Arial" w:hAnsi="Arial"/>
          <w:sz w:val="21"/>
          <w:szCs w:val="21"/>
        </w:rPr>
        <w:t xml:space="preserve">What this demonstrates for CoDa methodology: The Aitchison norm result is perhaps the most consequential finding for the compositional data analysis community. It demonstrates empirically that the boundary failures observed with Shannon entropy are metric artefacts, not failures of the underlying compositional structure. When the analysis is conducted using the simplex’s own Riemannian distance rather than an information-theoretic functional, boundary performance improves dramatically. The implication is that the simplex geometry is well-behaved everywhere; it is Shannon entropy’s non-uniform curvature that creates the appearance of boundary instability. This has a direct bearing on the choice of loss functions and test statistics in compositional regression. The Aitchison distance is already the standard metric in the CoDa literature. Our result provides additional empirical evidence from a large-scale chemical dataset that this choice is geometrically justified, particularly when compositions approach the boundary of the simplex.</w:t>
      </w:r>
    </w:p>
    <w:p>
      <w:r>
        <w:br w:type="page"/>
      </w:r>
    </w:p>
    <w:p>
      <w:pPr>
        <w:pStyle w:val="Heading2"/>
        <w:spacing w:after="120" w:before="240"/>
      </w:pPr>
      <w:r>
        <w:rPr>
          <w:rFonts w:ascii="Arial" w:cs="Arial" w:eastAsia="Arial" w:hAnsi="Arial"/>
          <w:b/>
          <w:bCs/>
          <w:sz w:val="24"/>
          <w:szCs w:val="24"/>
        </w:rPr>
        <w:t xml:space="preserve">3.4  Raw Shannon: The Interior Standard</w:t>
      </w:r>
    </w:p>
    <w:p>
      <w:pPr>
        <w:spacing w:after="120"/>
      </w:pPr>
      <w:r>
        <w:rPr>
          <w:rFonts w:ascii="Arial" w:cs="Arial" w:eastAsia="Arial" w:hAnsi="Arial"/>
          <w:b/>
          <w:bCs/>
          <w:sz w:val="21"/>
          <w:szCs w:val="21"/>
        </w:rPr>
        <w:t xml:space="preserve">Performance: </w:t>
      </w:r>
      <w:r>
        <w:rPr>
          <w:rFonts w:ascii="Arial" w:cs="Arial" w:eastAsia="Arial" w:hAnsi="Arial"/>
          <w:sz w:val="21"/>
          <w:szCs w:val="21"/>
        </w:rPr>
        <w:t xml:space="preserve">Best overall in the interior. 81.8% pass at 1.95% residual on polymer-electrolyte interior. 73.0% at 1.37% on drug solubility.</w:t>
      </w:r>
    </w:p>
    <w:p>
      <w:pPr>
        <w:spacing w:after="120"/>
      </w:pPr>
      <w:r>
        <w:rPr>
          <w:rFonts w:ascii="Arial" w:cs="Arial" w:eastAsia="Arial" w:hAnsi="Arial"/>
          <w:b/>
          <w:bCs/>
          <w:sz w:val="21"/>
          <w:szCs w:val="21"/>
        </w:rPr>
        <w:t xml:space="preserve">Why it succeeds: </w:t>
      </w:r>
      <w:r>
        <w:rPr>
          <w:rFonts w:ascii="Arial" w:cs="Arial" w:eastAsia="Arial" w:hAnsi="Arial"/>
          <w:sz w:val="21"/>
          <w:szCs w:val="21"/>
        </w:rPr>
        <w:t xml:space="preserve">Shannon entropy is locally flat near the centre of the simplex (max entropy at the uniform composition). Geometric-mean decimation produces small compositional shifts that barely change H in this flat region. The percentage-based residual is stable because H itself is large.</w:t>
      </w:r>
    </w:p>
    <w:p>
      <w:pPr>
        <w:spacing w:after="120"/>
      </w:pPr>
      <w:r>
        <w:rPr>
          <w:rFonts w:ascii="Arial" w:cs="Arial" w:eastAsia="Arial" w:hAnsi="Arial"/>
          <w:b/>
          <w:bCs/>
          <w:sz w:val="21"/>
          <w:szCs w:val="21"/>
        </w:rPr>
        <w:t xml:space="preserve">Why it fails at the boundary: </w:t>
      </w:r>
      <w:r>
        <w:rPr>
          <w:rFonts w:ascii="Arial" w:cs="Arial" w:eastAsia="Arial" w:hAnsi="Arial"/>
          <w:sz w:val="21"/>
          <w:szCs w:val="21"/>
        </w:rPr>
        <w:t xml:space="preserve">H is concave with curvature −(1/x_i) along each axis. Near x_i = 0, the curvature is steep, H is small, and both the numerator and denominator of the relative residual conspire to amplify small perturbations.</w:t>
      </w:r>
    </w:p>
    <w:p>
      <w:pPr>
        <w:spacing w:after="120"/>
      </w:pPr>
      <w:r>
        <w:rPr>
          <w:rFonts w:ascii="Arial" w:cs="Arial" w:eastAsia="Arial" w:hAnsi="Arial"/>
          <w:sz w:val="21"/>
          <w:szCs w:val="21"/>
        </w:rPr>
        <w:t xml:space="preserve">What this means for EITT specifically: Raw Shannon remains the most sensitive and accurate diagnostic for compositions in the interior of the simplex. The 53% overall pass rate on chemical composition sweeps, compared to 94.8% on energy time series, represents the first empirical decomposition of the two contributions to EITT invariance. Approximately half of the effect comes from the Aitchison geometry of the simplex, and approximately half comes from temporal autocorrelation keeping compositions in a small neighbourhood where the entropy surface is locally flat. This decomposition has not previously been established and directly informs Open Problem O-1, the formal bound on the EITT residual, which should now include a term for the composition range traversed.</w:t>
      </w:r>
    </w:p>
    <w:p>
      <w:pPr>
        <w:pStyle w:val="Heading1"/>
        <w:spacing w:after="120" w:before="240"/>
      </w:pPr>
      <w:r>
        <w:rPr>
          <w:rFonts w:ascii="Arial" w:cs="Arial" w:eastAsia="Arial" w:hAnsi="Arial"/>
          <w:b/>
          <w:bCs/>
          <w:sz w:val="28"/>
          <w:szCs w:val="28"/>
        </w:rPr>
        <w:t xml:space="preserve">4. The Multi-Modal Nature of Data on the Simplex</w:t>
      </w:r>
    </w:p>
    <w:p>
      <w:pPr>
        <w:spacing w:after="120"/>
      </w:pPr>
      <w:r>
        <w:rPr>
          <w:rFonts w:ascii="Arial" w:cs="Arial" w:eastAsia="Arial" w:hAnsi="Arial"/>
          <w:sz w:val="21"/>
          <w:szCs w:val="21"/>
        </w:rPr>
        <w:t xml:space="preserve">The four-lens comparison reveals something deeper than a ranking of metrics. It reveals that the simplex is not a uniform space for analysis. Data on the simplex is inherently multi-modal in its geometric character, and this multi-modality has consequences for any analytical method, not only EITT.</w:t>
      </w:r>
    </w:p>
    <w:p>
      <w:pPr>
        <w:spacing w:after="120"/>
      </w:pPr>
      <w:r>
        <w:rPr>
          <w:rFonts w:ascii="Arial" w:cs="Arial" w:eastAsia="Arial" w:hAnsi="Arial"/>
          <w:sz w:val="21"/>
          <w:szCs w:val="21"/>
        </w:rPr>
        <w:t xml:space="preserve">In the interior, the simplex behaves like a gently curved manifold where information-theoretic functionals are stable, distances are well-approximated by Euclidean norms in the CLR basis, and compositional perturbations produce proportional changes in all standard metrics. At the boundary, the geometry changes qualitatively. The Fisher information diverges, log-ratio transforms become singular, and the gap between the Aitchison metric and information-theoretic measures widens. This is not a defect of the simplex or of any particular metric. It is a structural feature of compositional spaces that any method must accommodate.</w:t>
      </w:r>
    </w:p>
    <w:p>
      <w:pPr>
        <w:spacing w:after="120"/>
      </w:pPr>
      <w:r>
        <w:rPr>
          <w:rFonts w:ascii="Arial" w:cs="Arial" w:eastAsia="Arial" w:hAnsi="Arial"/>
          <w:sz w:val="21"/>
          <w:szCs w:val="21"/>
        </w:rPr>
        <w:t xml:space="preserve">The CoDa community has long recognised that the boundary of the simplex requires special treatment, particularly in the context of zero replacement and the essential-zero problem. Our results add an empirical dimension to this understanding. Across 500,000 chemical data points, seven datasets, and four distinct metrics applied simultaneously, the boundary consistently produces different analytical behaviour than the interior. The difference is quantifiable: a factor of two to three in pass rates and residual magnitudes between interior and boundary compositions.</w:t>
      </w:r>
    </w:p>
    <w:p>
      <w:pPr>
        <w:spacing w:after="120"/>
      </w:pPr>
      <w:r>
        <w:rPr>
          <w:rFonts w:ascii="Arial" w:cs="Arial" w:eastAsia="Arial" w:hAnsi="Arial"/>
          <w:sz w:val="21"/>
          <w:szCs w:val="21"/>
        </w:rPr>
        <w:t xml:space="preserve">This multi-modality suggests that adaptive methods, which select or weight their metrics according to the local geometry of the data, may be more appropriate for compositional analysis than any single fixed metric. The dual-lens diagnostic that emerges naturally from our results — Shannon for the interior, Aitchison norm for the boundary, with a crossover near min(x_i) ≈ 0.05 — is one concrete instance of this principle. But the principle itself is general and applies wherever compositions approach the boundary of the simplex, whether in chemistry, ecology, geology, economics, or any other domain where parts of a whole are the natural unit of analysis.</w:t>
      </w:r>
    </w:p>
    <w:p>
      <w:pPr>
        <w:pStyle w:val="Heading1"/>
        <w:spacing w:after="120" w:before="240"/>
      </w:pPr>
      <w:r>
        <w:rPr>
          <w:rFonts w:ascii="Arial" w:cs="Arial" w:eastAsia="Arial" w:hAnsi="Arial"/>
          <w:b/>
          <w:bCs/>
          <w:sz w:val="28"/>
          <w:szCs w:val="28"/>
        </w:rPr>
        <w:t xml:space="preserve">5. Inverse Gains: What the Failures Teach Adjacent Fields</w:t>
      </w:r>
    </w:p>
    <w:p>
      <w:pPr>
        <w:pStyle w:val="Heading2"/>
        <w:spacing w:after="120" w:before="240"/>
      </w:pPr>
      <w:r>
        <w:rPr>
          <w:rFonts w:ascii="Arial" w:cs="Arial" w:eastAsia="Arial" w:hAnsi="Arial"/>
          <w:b/>
          <w:bCs/>
          <w:sz w:val="24"/>
          <w:szCs w:val="24"/>
        </w:rPr>
        <w:t xml:space="preserve">5.1  Analytical Chemistry and Trace Detection</w:t>
      </w:r>
    </w:p>
    <w:p>
      <w:pPr>
        <w:spacing w:after="120"/>
      </w:pPr>
      <w:r>
        <w:rPr>
          <w:rFonts w:ascii="Arial" w:cs="Arial" w:eastAsia="Arial" w:hAnsi="Arial"/>
          <w:sz w:val="21"/>
          <w:szCs w:val="21"/>
        </w:rPr>
        <w:t xml:space="preserve">The Jensen overcorrection quantifies the curvature of the entropy surface near the simplex boundary using real chemical data. For analytical chemists performing trace-level analysis, where one component may constitute less than 1% of a mixture, this result provides an empirical bound on the reliability of entropy-based quality metrics. The 476% Hessian overcorrection at the ionic-liquid boundary translates directly to the unreliability of symmetric confidence intervals in this regime. The Aitchison norm, which remains stable at the boundary, offers a concrete alternative for process monitoring near detection limits.</w:t>
      </w:r>
    </w:p>
    <w:p>
      <w:pPr>
        <w:pStyle w:val="Heading2"/>
        <w:spacing w:after="120" w:before="240"/>
      </w:pPr>
      <w:r>
        <w:rPr>
          <w:rFonts w:ascii="Arial" w:cs="Arial" w:eastAsia="Arial" w:hAnsi="Arial"/>
          <w:b/>
          <w:bCs/>
          <w:sz w:val="24"/>
          <w:szCs w:val="24"/>
        </w:rPr>
        <w:t xml:space="preserve">5.2  Ecology and Biodiversity Indices</w:t>
      </w:r>
    </w:p>
    <w:p>
      <w:pPr>
        <w:spacing w:after="120"/>
      </w:pPr>
      <w:r>
        <w:rPr>
          <w:rFonts w:ascii="Arial" w:cs="Arial" w:eastAsia="Arial" w:hAnsi="Arial"/>
          <w:sz w:val="21"/>
          <w:szCs w:val="21"/>
        </w:rPr>
        <w:t xml:space="preserve">Hill numbers and Shannon diversity are the standard tools in community ecology. Our results show that geometric-mean averaging of near-monoculture compositions (the ecological equivalent of a heavily dominated community) produces volatile diversity estimates due to the curvature of Shannon entropy near the simplex boundary. This volatility is not ecological noise; it is geometric. Ecologists monitoring disturbed or low-diversity ecosystems may benefit from supplementing Shannon diversity with the Aitchison distance from the uniform composition, which our data shows is stable precisely where Shannon is not.</w:t>
      </w:r>
    </w:p>
    <w:p>
      <w:pPr>
        <w:pStyle w:val="Heading2"/>
        <w:spacing w:after="120" w:before="240"/>
      </w:pPr>
      <w:r>
        <w:rPr>
          <w:rFonts w:ascii="Arial" w:cs="Arial" w:eastAsia="Arial" w:hAnsi="Arial"/>
          <w:b/>
          <w:bCs/>
          <w:sz w:val="24"/>
          <w:szCs w:val="24"/>
        </w:rPr>
        <w:t xml:space="preserve">5.3  Pharmaceutical Formulation Science</w:t>
      </w:r>
    </w:p>
    <w:p>
      <w:pPr>
        <w:spacing w:after="120"/>
      </w:pPr>
      <w:r>
        <w:rPr>
          <w:rFonts w:ascii="Arial" w:cs="Arial" w:eastAsia="Arial" w:hAnsi="Arial"/>
          <w:sz w:val="21"/>
          <w:szCs w:val="21"/>
        </w:rPr>
        <w:t xml:space="preserve">Multi-component drug formulations (D=6 in our medicine-formulations dataset) failed all four lenses. With six components, the probability of at least one part falling below the boundary threshold is high. This result is directly relevant to FDA Process Analytical Technology guidelines, which increasingly require real-time compositional monitoring during manufacturing. Our findings suggest that Shannon-based process metrics will be unreliable for high-dimensional pharmaceutical compositions unless near-zero components are either excluded from the entropy calculation or monitored using the Aitchison norm.</w:t>
      </w:r>
    </w:p>
    <w:p>
      <w:pPr>
        <w:pStyle w:val="Heading2"/>
        <w:spacing w:after="120" w:before="240"/>
      </w:pPr>
      <w:r>
        <w:rPr>
          <w:rFonts w:ascii="Arial" w:cs="Arial" w:eastAsia="Arial" w:hAnsi="Arial"/>
          <w:b/>
          <w:bCs/>
          <w:sz w:val="24"/>
          <w:szCs w:val="24"/>
        </w:rPr>
        <w:t xml:space="preserve">5.4  Information Theory and the Entropy Family</w:t>
      </w:r>
    </w:p>
    <w:p>
      <w:pPr>
        <w:spacing w:after="120"/>
      </w:pPr>
      <w:r>
        <w:rPr>
          <w:rFonts w:ascii="Arial" w:cs="Arial" w:eastAsia="Arial" w:hAnsi="Arial"/>
          <w:sz w:val="21"/>
          <w:szCs w:val="21"/>
        </w:rPr>
        <w:t xml:space="preserve">The confirmed generalisation of EITT across the full family from q=0.1 to q=5.0 was established on temporally autocorrelated data. The chemistry results show that this generalisation has a domain boundary: when compositions traverse large arcs of the simplex rather than fluctuating locally, different entropy orders exhibit different curvature profiles and correspondingly different failure characteristics. Shannon is special for broad compositional surveys because its interior curvature is the gentlest. This constrains where the generalisation applies and provides a principled basis for selecting the entropy order based on the compositional regime.</w:t>
      </w:r>
    </w:p>
    <w:p>
      <w:pPr>
        <w:pStyle w:val="Heading2"/>
        <w:spacing w:after="120" w:before="240"/>
      </w:pPr>
      <w:r>
        <w:rPr>
          <w:rFonts w:ascii="Arial" w:cs="Arial" w:eastAsia="Arial" w:hAnsi="Arial"/>
          <w:b/>
          <w:bCs/>
          <w:sz w:val="24"/>
          <w:szCs w:val="24"/>
        </w:rPr>
        <w:t xml:space="preserve">5.5  CoDa Methodology: The Simplex Geometry Is Sound</w:t>
      </w:r>
    </w:p>
    <w:p>
      <w:pPr>
        <w:spacing w:after="120"/>
      </w:pPr>
      <w:r>
        <w:rPr>
          <w:rFonts w:ascii="Arial" w:cs="Arial" w:eastAsia="Arial" w:hAnsi="Arial"/>
          <w:sz w:val="21"/>
          <w:szCs w:val="21"/>
        </w:rPr>
        <w:t xml:space="preserve">Perhaps the most important inverse gain is a validation. The Aitchison norm’s consistent stability at the boundary, where every other metric struggled, confirms empirically what the theory predicts: the Aitchison metric is the natural ruler on the simplex, with uniform curvature that does not distort measurements regardless of where on the simplex the data lies. The boundary failures we observe with Shannon entropy, and their resolution when the Aitchison metric is used, provide large-scale empirical evidence from a new domain that the Aitchison framework is geometrically well-founded. The simplex itself is not the source of boundary difficulties. The choice of functional is.</w:t>
      </w:r>
    </w:p>
    <w:p>
      <w:r>
        <w:br w:type="page"/>
      </w:r>
    </w:p>
    <w:p>
      <w:pPr>
        <w:pStyle w:val="Heading1"/>
        <w:spacing w:after="120" w:before="240"/>
      </w:pPr>
      <w:r>
        <w:rPr>
          <w:rFonts w:ascii="Arial" w:cs="Arial" w:eastAsia="Arial" w:hAnsi="Arial"/>
          <w:b/>
          <w:bCs/>
          <w:sz w:val="28"/>
          <w:szCs w:val="28"/>
        </w:rPr>
        <w:t xml:space="preserve">6. Honest Disclosures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9240"/>
      </w:tblGrid>
      <w:tr>
        <w:tc>
          <w:tcPr>
            <w:tcW w:type="dxa" w:w="6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924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Disclosure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1</w:t>
            </w:r>
          </w:p>
        </w:tc>
        <w:tc>
          <w:tcPr>
            <w:tcW w:type="dxa" w:w="9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Composition sweeps ordered by mole fraction are not time series. Results describe EITT on smoothly ordered compositions, not temporal data.</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9"/>
                <w:szCs w:val="19"/>
              </w:rPr>
              <w:t xml:space="preserve">2</w:t>
            </w:r>
          </w:p>
        </w:tc>
        <w:tc>
          <w:tcPr>
            <w:tcW w:type="dxa" w:w="9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9"/>
                <w:szCs w:val="19"/>
              </w:rPr>
              <w:t xml:space="preserve">Binary mixtures (D=2) live on the one-dimensional simplex. Higher-dimensional tests (D=3, D=6) were limited by data availability.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3</w:t>
            </w:r>
          </w:p>
        </w:tc>
        <w:tc>
          <w:tcPr>
            <w:tcW w:type="dxa" w:w="9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CheMixHub data is curated for machine-learning benchmarking. Some preprocessing decisions may affect compositional structure.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9"/>
                <w:szCs w:val="19"/>
              </w:rPr>
              <w:t xml:space="preserve">4</w:t>
            </w:r>
          </w:p>
        </w:tc>
        <w:tc>
          <w:tcPr>
            <w:tcW w:type="dxa" w:w="9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9"/>
                <w:szCs w:val="19"/>
              </w:rPr>
              <w:t xml:space="preserve">The Jensen correction requires a damping coefficient proportional to composition range before it is practically useful. The current implementation is a proof of concept.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5</w:t>
            </w:r>
          </w:p>
        </w:tc>
        <w:tc>
          <w:tcPr>
            <w:tcW w:type="dxa" w:w="9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The boundary threshold of min(x_i) = 0.05 was chosen empirically. A formal derivation of the optimal crossover point is an open problem.</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9"/>
                <w:szCs w:val="19"/>
              </w:rPr>
              <w:t xml:space="preserve">6</w:t>
            </w:r>
          </w:p>
        </w:tc>
        <w:tc>
          <w:tcPr>
            <w:tcW w:type="dxa" w:w="9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9"/>
                <w:szCs w:val="19"/>
              </w:rPr>
              <w:t xml:space="preserve">EITT is an empirical observation, not a theorem. Formal proof is Open Problem O-1. These chemistry results inform but do not resolve it.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7</w:t>
            </w:r>
          </w:p>
        </w:tc>
        <w:tc>
          <w:tcPr>
            <w:tcW w:type="dxa" w:w="9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9"/>
                <w:szCs w:val="19"/>
              </w:rPr>
              <w:t xml:space="preserve">The 53% overall pass rate includes both interior and boundary compositions. Interior-only pass rates (54–82%) are more comparable to temporal EITT results.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9"/>
                <w:szCs w:val="19"/>
              </w:rPr>
              <w:t xml:space="preserve">8</w:t>
            </w:r>
          </w:p>
        </w:tc>
        <w:tc>
          <w:tcPr>
            <w:tcW w:type="dxa" w:w="9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9"/>
                <w:szCs w:val="19"/>
              </w:rPr>
              <w:t xml:space="preserve">The olfactory-similarity dataset could not be tested (pairwise similarity format, not compositions). Medicine formulations had only 1 testable group.</w:t>
            </w:r>
          </w:p>
        </w:tc>
      </w:tr>
    </w:tbl>
    <w:p>
      <w:pPr>
        <w:pStyle w:val="Heading1"/>
        <w:spacing w:after="120" w:before="240"/>
      </w:pPr>
      <w:r>
        <w:rPr>
          <w:rFonts w:ascii="Arial" w:cs="Arial" w:eastAsia="Arial" w:hAnsi="Arial"/>
          <w:b/>
          <w:bCs/>
          <w:sz w:val="28"/>
          <w:szCs w:val="28"/>
        </w:rPr>
        <w:t xml:space="preserve">7. Data Sources and Reproducibility</w:t>
      </w:r>
    </w:p>
    <w:p>
      <w:pPr>
        <w:spacing w:after="120"/>
      </w:pPr>
      <w:r>
        <w:rPr>
          <w:rFonts w:ascii="Arial" w:cs="Arial" w:eastAsia="Arial" w:hAnsi="Arial"/>
          <w:b/>
          <w:bCs/>
          <w:sz w:val="21"/>
          <w:szCs w:val="21"/>
        </w:rPr>
        <w:t xml:space="preserve">Primary data: </w:t>
      </w:r>
      <w:r>
        <w:rPr>
          <w:rFonts w:ascii="Arial" w:cs="Arial" w:eastAsia="Arial" w:hAnsi="Arial"/>
          <w:sz w:val="21"/>
          <w:szCs w:val="21"/>
        </w:rPr>
        <w:t xml:space="preserve">CheMixHub benchmark (Rajaonson et al., NeurIPS 2025). github.com/chemcognition-lab/chemixhub. Seven datasets, approximately 500,000 data points, all compositions as mole fractions.</w:t>
      </w:r>
    </w:p>
    <w:p>
      <w:pPr>
        <w:spacing w:after="120"/>
      </w:pPr>
      <w:r>
        <w:rPr>
          <w:rFonts w:ascii="Arial" w:cs="Arial" w:eastAsia="Arial" w:hAnsi="Arial"/>
          <w:b/>
          <w:bCs/>
          <w:sz w:val="21"/>
          <w:szCs w:val="21"/>
        </w:rPr>
        <w:t xml:space="preserve">Pipeline: </w:t>
      </w:r>
      <w:r>
        <w:rPr>
          <w:rFonts w:ascii="Arial" w:cs="Arial" w:eastAsia="Arial" w:hAnsi="Arial"/>
          <w:sz w:val="21"/>
          <w:szCs w:val="21"/>
        </w:rPr>
        <w:t xml:space="preserve">chem_eitt_pipeline.py. Open source, single-file Python. Dependencies: pandas, numpy, scipy, matplotlib. Runs on a laptop.</w:t>
      </w:r>
    </w:p>
    <w:p>
      <w:pPr>
        <w:spacing w:after="120"/>
      </w:pPr>
      <w:r>
        <w:rPr>
          <w:rFonts w:ascii="Arial" w:cs="Arial" w:eastAsia="Arial" w:hAnsi="Arial"/>
          <w:b/>
          <w:bCs/>
          <w:sz w:val="21"/>
          <w:szCs w:val="21"/>
        </w:rPr>
        <w:t xml:space="preserve">Experiment specification: </w:t>
      </w:r>
      <w:r>
        <w:rPr>
          <w:rFonts w:ascii="Arial" w:cs="Arial" w:eastAsia="Arial" w:hAnsi="Arial"/>
          <w:sz w:val="21"/>
          <w:szCs w:val="21"/>
        </w:rPr>
        <w:t xml:space="preserve">CHEM_EITT_LAB_001.json. Full protocol, hypotheses, expected results, and CoDa mapping.</w:t>
      </w:r>
    </w:p>
    <w:p>
      <w:pPr>
        <w:spacing w:after="120"/>
      </w:pPr>
      <w:r>
        <w:rPr>
          <w:rFonts w:ascii="Arial" w:cs="Arial" w:eastAsia="Arial" w:hAnsi="Arial"/>
          <w:b/>
          <w:bCs/>
          <w:sz w:val="21"/>
          <w:szCs w:val="21"/>
        </w:rPr>
        <w:t xml:space="preserve">Repository: </w:t>
      </w:r>
      <w:r>
        <w:rPr>
          <w:rFonts w:ascii="Arial" w:cs="Arial" w:eastAsia="Arial" w:hAnsi="Arial"/>
          <w:sz w:val="21"/>
          <w:szCs w:val="21"/>
        </w:rPr>
        <w:t xml:space="preserve">github.com/PeterHiggins19/Higgins-Unity-Framework</w:t>
      </w:r>
    </w:p>
    <w:p>
      <w:pPr>
        <w:spacing w:after="120"/>
      </w:pPr>
      <w:r>
        <w:rPr>
          <w:rFonts w:ascii="Arial" w:cs="Arial" w:eastAsia="Arial" w:hAnsi="Arial"/>
          <w:b/>
          <w:bCs/>
          <w:sz w:val="21"/>
          <w:szCs w:val="21"/>
        </w:rPr>
        <w:t xml:space="preserve">Standard: </w:t>
      </w:r>
      <w:r>
        <w:rPr>
          <w:rFonts w:ascii="Arial" w:cs="Arial" w:eastAsia="Arial" w:hAnsi="Arial"/>
          <w:sz w:val="21"/>
          <w:szCs w:val="21"/>
        </w:rPr>
        <w:t xml:space="preserve">RWA-001 (Rogue Wave Audio Corporate Reference).</w:t>
      </w:r>
    </w:p>
    <w:p>
      <w:pPr>
        <w:spacing w:after="120"/>
      </w:pPr>
      <w:r>
        <w:rPr>
          <w:rFonts w:ascii="Arial" w:cs="Arial" w:eastAsia="Arial" w:hAnsi="Arial"/>
          <w:b/>
          <w:bCs/>
          <w:sz w:val="21"/>
          <w:szCs w:val="21"/>
        </w:rPr>
        <w:t xml:space="preserve">Governance: </w:t>
      </w:r>
      <w:r>
        <w:rPr>
          <w:rFonts w:ascii="Arial" w:cs="Arial" w:eastAsia="Arial" w:hAnsi="Arial"/>
          <w:sz w:val="21"/>
          <w:szCs w:val="21"/>
        </w:rPr>
        <w:t xml:space="preserve">HUF-GOV. Measure, report, file. No intervention on the data.</w:t>
      </w:r>
    </w:p>
    <w:p>
      <w:pPr>
        <w:pBdr>
          <w:top w:val="single" w:color="1E3A5F" w:sz="2" w:space="8"/>
        </w:pBdr>
        <w:spacing w:before="400"/>
      </w:pPr>
      <w:r>
        <w:rPr>
          <w:rFonts w:ascii="Arial" w:cs="Arial" w:eastAsia="Arial" w:hAnsi="Arial"/>
          <w:color w:val="666666"/>
          <w:sz w:val="19"/>
          <w:szCs w:val="19"/>
        </w:rPr>
        <w:t xml:space="preserve">Peter Higgins  |  Rogue Wave Audio  |  PeterHiggins@RogueWaveAudio.com  |  April 2026</w:t>
      </w:r>
    </w:p>
    <w:p>
      <w:pPr>
        <w:spacing w:after="40"/>
      </w:pPr>
      <w:r>
        <w:rPr>
          <w:rFonts w:ascii="Arial" w:cs="Arial" w:eastAsia="Arial" w:hAnsi="Arial"/>
          <w:color w:val="888888"/>
          <w:sz w:val="18"/>
          <w:szCs w:val="18"/>
        </w:rPr>
        <w:t xml:space="preserve">All code, data, and test results: github.com/PeterHiggins19/Higgins-Unity-Framework</w:t>
      </w:r>
    </w:p>
    <w:p>
      <w:r>
        <w:rPr>
          <w:rFonts w:ascii="Arial" w:cs="Arial" w:eastAsia="Arial" w:hAnsi="Arial"/>
          <w:color w:val="888888"/>
          <w:sz w:val="18"/>
          <w:szCs w:val="18"/>
        </w:rPr>
        <w:t xml:space="preserve">Multi-AI adversarial review (Claude, ChatGPT, Grok, Gemini, Copilot) applied throughout.</w:t>
      </w:r>
    </w:p>
    <w:sectPr>
      <w:headerReference w:type="default" r:id="rId7"/>
      <w:footerReference w:type="default" r:id="rId8"/>
      <w:pgSz w:w="12240" w:h="15840"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999999"/>
        <w:sz w:val="16"/>
        <w:szCs w:val="16"/>
      </w:rPr>
      <w:t xml:space="preserve">Peter Higgins | Rogue Wave Audio | PeterHiggins@RogueWaveAudio.com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1"/>
      </w:pBdr>
      <w:jc w:val="right"/>
    </w:pPr>
    <w:r>
      <w:rPr>
        <w:rFonts w:ascii="Arial" w:cs="Arial" w:eastAsia="Arial" w:hAnsi="Arial"/>
        <w:color w:val="999999"/>
        <w:sz w:val="16"/>
        <w:szCs w:val="16"/>
      </w:rPr>
      <w:t xml:space="preserve">EITT Chemistry Findings  |  </w:t>
    </w:r>
    <w:r>
      <w:rPr>
        <w:rFonts w:ascii="Arial" w:cs="Arial" w:eastAsia="Arial" w:hAnsi="Arial"/>
        <w:b/>
        <w:bCs/>
        <w:color w:val="1E3A5F"/>
        <w:sz w:val="16"/>
        <w:szCs w:val="16"/>
      </w:rPr>
      <w:t xml:space="preserve">Rogue Wave Audio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0D5C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2026-04-11T04:26:01.376Z</dcterms:created>
  <dcterms:modified xsi:type="dcterms:W3CDTF">2026-04-11T04:26:01.377Z</dcterms:modified>
</cp:coreProperties>
</file>

<file path=docProps/custom.xml><?xml version="1.0" encoding="utf-8"?>
<Properties xmlns="http://schemas.openxmlformats.org/officeDocument/2006/custom-properties" xmlns:vt="http://schemas.openxmlformats.org/officeDocument/2006/docPropsVTypes"/>
</file>