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THE OBSERVER PROBLEM IN COMPOSITIONAL DATA ANALYSIS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A Structural Correspondence Between the Decoherence Framework and the Higgins Unity Framework</w:t>
      </w:r>
    </w:p>
    <w:p>
      <w:pPr>
        <w:spacing w:after="480"/>
        <w:jc w:val="center"/>
      </w:pPr>
      <w:r>
        <w:rPr>
          <w:b/>
          <w:bCs/>
          <w:sz w:val="26"/>
          <w:szCs w:val="26"/>
        </w:rPr>
        <w:t xml:space="preserve">Book 1 of the HUF-QIT Series</w:t>
      </w:r>
    </w:p>
    <w:p>
      <w:pPr>
        <w:spacing w:after="240"/>
      </w:pPr>
      <w:r>
        <w:t xml:space="preserve"/>
      </w:r>
    </w:p>
    <w:p>
      <w:pPr>
        <w:spacing w:after="60"/>
        <w:jc w:val="center"/>
      </w:pPr>
      <w:r>
        <w:rPr>
          <w:sz w:val="24"/>
          <w:szCs w:val="24"/>
        </w:rPr>
        <w:t xml:space="preserve">Peter Higgins</w:t>
      </w:r>
    </w:p>
    <w:p>
      <w:pPr>
        <w:spacing w:after="60"/>
        <w:jc w:val="center"/>
      </w:pPr>
      <w:r>
        <w:rPr>
          <w:sz w:val="24"/>
          <w:szCs w:val="24"/>
        </w:rPr>
        <w:t xml:space="preserve">Rogue Wave Audio</w:t>
      </w:r>
    </w:p>
    <w:p>
      <w:pPr>
        <w:spacing w:after="480"/>
        <w:jc w:val="center"/>
      </w:pPr>
      <w:r>
        <w:rPr>
          <w:sz w:val="24"/>
          <w:szCs w:val="24"/>
        </w:rPr>
        <w:t xml:space="preserve">April 2026</w:t>
      </w:r>
    </w:p>
    <w:p>
      <w:pPr>
        <w:spacing w:after="240"/>
      </w:pPr>
      <w:r>
        <w:t xml:space="preserve"/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CoDaWork 2026, Coimbra — Session S018</w:t>
      </w:r>
    </w:p>
    <w:p>
      <w:pPr>
        <w:spacing w:after="0"/>
        <w:jc w:val="center"/>
      </w:pPr>
      <w:r>
        <w:rPr>
          <w:i/>
          <w:iCs/>
          <w:sz w:val="22"/>
          <w:szCs w:val="22"/>
        </w:rPr>
        <w:t xml:space="preserve">Prerequisite: Book 0 (HUF-QIT Primer)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ABSTRACT</w:t>
      </w:r>
    </w:p>
    <w:p>
      <w:pPr>
        <w:spacing w:after="120"/>
        <w:jc w:val="both"/>
      </w:pPr>
      <w:r>
        <w:rPr>
          <w:sz w:val="22"/>
          <w:szCs w:val="22"/>
        </w:rPr>
        <w:t xml:space="preserve">The Higgins Unity Framework (HUF) — originating in loudspeaker diffraction engineering — shares structural correspondence with quantum decoherence. Both are theories of what happens when an observer ignores a constraint. In quantum mechanics, tracing out the environment produces apparent wave-function collapse. In CoDa, ignoring the simplex produces spurious correlations. We establish nine formal isomorphisms, demonstrate that EITT corresponds to unitarity, and confirm the correspondence empirically with a compositional Bell inequality test (CHSH analogue) on NGFS Phase 4 data. The test yields S = 2.20 on MESSAGEix Net Zero 2050, exceeding the classical bound of 2. All 35 scenarios show process entanglement at p &lt; 0.001. We reinterpret “spooky action at a distance” as constraint propagation on the simplex — consistent with Bell’s theorem, not violating it. The correspondence gives CoDa a physics-grade foundation and quantum information theory a new compositional substrate.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1.1. The Observer Problem: Wigner (1961), Aitchison (1986), Higgins (2024)</w:t>
      </w:r>
    </w:p>
    <w:p>
      <w:pPr>
        <w:spacing w:after="120"/>
        <w:jc w:val="both"/>
      </w:pPr>
      <w:r>
        <w:rPr>
          <w:sz w:val="22"/>
          <w:szCs w:val="22"/>
        </w:rPr>
        <w:t xml:space="preserve">The observer problem has arrived three times in history through independent routes: in quantum mechanics (Wigner), in chemical analysis (Aitchison), and in engineering diffraction theory (Higgins). Each discovered the same structure without knowing the others had done so.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1.2. The Invisible Door: MC-4, Deceptive Drift, the Fourth Monitoring Category</w:t>
      </w:r>
    </w:p>
    <w:p>
      <w:pPr>
        <w:spacing w:after="120"/>
        <w:jc w:val="both"/>
      </w:pPr>
      <w:r>
        <w:rPr>
          <w:sz w:val="22"/>
          <w:szCs w:val="22"/>
        </w:rPr>
        <w:t xml:space="preserve">In IIASA’s NGFS multi-model averaging, a hidden variable emerges when one model’s output trajectory diverges from the ensemble. This divergence is not noise — it is process entanglement. The fourth monitoring category (MC-4) is the system’s way of saying: “you ignored a constraint.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1.3. Research Question</w:t>
      </w:r>
    </w:p>
    <w:p>
      <w:pPr>
        <w:spacing w:after="120"/>
        <w:jc w:val="both"/>
      </w:pPr>
      <w:r>
        <w:rPr>
          <w:sz w:val="22"/>
          <w:szCs w:val="22"/>
        </w:rPr>
        <w:t xml:space="preserve">Do the mathematical structures of quantum decoherence and compositional data analysis share a formal isomorphism, and can it be confirmed empirically?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1.4. Contribution</w:t>
      </w:r>
    </w:p>
    <w:p>
      <w:pPr>
        <w:spacing w:after="120"/>
        <w:jc w:val="both"/>
      </w:pPr>
      <w:r>
        <w:rPr>
          <w:sz w:val="22"/>
          <w:szCs w:val="22"/>
        </w:rPr>
        <w:t xml:space="preserve">We establish nine isomorphisms, demonstrate that EITT corresponds to unitarity, and confirm the correspondence with a compositional Bell test on real climate data.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2. LITERATURE REVIEW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2.1. CoDa Foundations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Aitchison (1986): “The Statistical Analysis of Compositional Data” — classical foundations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Egozcue et al. (2003): ILR transformation and geometrization of the simplex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Pawlowsky-Glahn &amp; Buccianti (2011): CoDa applications in geochemistry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Greenacre (2018): Compositional data analysis for the geosciences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2.2. Quantum Decoherence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Zurek (2003): Decoherence and the transition from quantum to classical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Relaño (2020): Decoherence in many-body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Frauchiger &amp; Renner (2018): Single-world interpretations of quantum mechanics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Brukner (2018): The mechanics of the wave function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2.3. Bell Inequalities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Bell (1964): On the Einstein Podolsky Rosen paradox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CHSH (1969): Proposed Bell test for distinguishing quantum and classical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Tsirelson (1980): Quantum mechanical bounds on CHSH correlations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Leggett &amp; Garg (1985): Macrorealism and the foundations of quantum mechanics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2.4. Cross-Domain Structural Correspondences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Coecke &amp; Duncan (2011): Categorical quantum mechanics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Orús (2019): Tensor networks for complex quantum systems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2.5. The Gap</w:t>
      </w:r>
    </w:p>
    <w:p>
      <w:pPr>
        <w:spacing w:after="120"/>
        <w:jc w:val="both"/>
      </w:pPr>
      <w:r>
        <w:rPr>
          <w:sz w:val="22"/>
          <w:szCs w:val="22"/>
        </w:rPr>
        <w:t xml:space="preserve">No prior work establishes formal isomorphisms between CoDa simplex algebra and quantum information structures. This paper closes that gap.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3. METHODOLOGY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3.1. Isomorphism Identification</w:t>
      </w:r>
    </w:p>
    <w:p>
      <w:pPr>
        <w:spacing w:after="120"/>
        <w:jc w:val="both"/>
      </w:pPr>
      <w:r>
        <w:rPr>
          <w:sz w:val="22"/>
          <w:szCs w:val="22"/>
        </w:rPr>
        <w:t xml:space="preserve">We systematically mapped quantum concepts to CoDa structures, preserving mathematical content while reinterpreting physical substrate. Each isomorphism preserves three properties: (1) algebraic structure, (2) conservation laws, (3) measurable outcomes.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3.2. Data</w:t>
      </w:r>
    </w:p>
    <w:p>
      <w:pPr>
        <w:spacing w:after="120"/>
        <w:jc w:val="both"/>
      </w:pPr>
      <w:r>
        <w:rPr>
          <w:sz w:val="22"/>
          <w:szCs w:val="22"/>
        </w:rPr>
        <w:t xml:space="preserve">NGFS Phase 4 V4.0 multimodel scenario ensemble: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496,224 rows (timestep×model×scenario×region combinations)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9 energy carriers (coal, gas, oil, biomass, hydro, wind, solar, nuclear,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IAMs (GCAM, MESSAGE-ix, REMIND)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 climate scenarios (1.5°C, 1.6°C, 1.8°C, 2.0°C, Net Zero 2050, NDC, Current Policies)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17 timesteps (2020—2100 in 5-year intervals)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3.3. Bell Test Protocol</w:t>
      </w:r>
    </w:p>
    <w:p>
      <w:pPr>
        <w:spacing w:after="120"/>
        <w:jc w:val="both"/>
      </w:pPr>
      <w:r>
        <w:rPr>
          <w:sz w:val="22"/>
          <w:szCs w:val="22"/>
        </w:rPr>
        <w:t xml:space="preserve">CHSH analogue using cross-group log-ratios: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Observer A (fossil): bases a = ln(Coal/Solar), a’ = ln(Gas/Wind)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Observer B (clean): bases b = ln(Oil/Nuclear), b’ = ln(Coal/Biomass)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Geometric interpolation between 2020 and 2100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3% log-normal perturbation per trajectory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 noise realisations per scenario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3.4. Monte Carlo Null Model</w:t>
      </w:r>
    </w:p>
    <w:p>
      <w:pPr>
        <w:spacing w:after="120"/>
        <w:jc w:val="both"/>
      </w:pPr>
      <w:r>
        <w:rPr>
          <w:sz w:val="22"/>
          <w:szCs w:val="22"/>
        </w:rPr>
        <w:t xml:space="preserve">10,000 simulations with independent log-normal parts, both with and without closure. The null model preserves log-normal structure but severs compositional constraint.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3.5. Full Basis Scan</w:t>
      </w:r>
    </w:p>
    <w:p>
      <w:pPr>
        <w:spacing w:after="120"/>
        <w:jc w:val="both"/>
      </w:pPr>
      <w:r>
        <w:rPr>
          <w:sz w:val="22"/>
          <w:szCs w:val="22"/>
        </w:rPr>
        <w:t xml:space="preserve">All 18,360 cross-group log-ratio CHSH configurations on MESSAGEix Net Zero 2050 scenario, ranked by CHSH violation magnitude.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4. RESULTS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4.1. The Nine Isomorphisms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Table 1: Formal correspondence between quantum and compositional structures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Quantum Structure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CoDa Structure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Hilbert space | Ψ ⟩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Simplex Σx_i = 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Trace (partial)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Closure (division by sum)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Density matrix 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CLR vector c(x)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Von Neumann entropy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Shannon entropy H(x)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Unitary transform U†U = 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EITT: H(block(X)) ≈ H(X)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Measurement basis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Log-ratio selection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Entanglement (correlations)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Spurious correlation (closure-induced)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Bell inequality violation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Compositional CHSH S &gt; 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Hidden variable constraint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Simplex constraint Σx_i = 1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4.2. The Core Isomorphism: Partial Trace ↔ Closure</w:t>
      </w:r>
    </w:p>
    <w:p>
      <w:pPr>
        <w:spacing w:after="120"/>
        <w:jc w:val="both"/>
      </w:pPr>
      <w:r>
        <w:rPr>
          <w:sz w:val="22"/>
          <w:szCs w:val="22"/>
        </w:rPr>
        <w:t xml:space="preserve">In quantum mechanics, the reduced density matrix emerges when an observer ignores the environment:</w:t>
      </w:r>
    </w:p>
    <w:p>
      <w:pPr>
        <w:spacing w:after="12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|Ψ₂⟩ = (1/√2)(|h⟩|A_h⟩|ε₁(t)⟩ + |v⟩|A_v⟩|ε₂(t)⟩)</w:t>
      </w:r>
    </w:p>
    <w:p>
      <w:pPr>
        <w:spacing w:after="120"/>
        <w:jc w:val="both"/>
      </w:pPr>
      <w:r>
        <w:rPr>
          <w:sz w:val="22"/>
          <w:szCs w:val="22"/>
        </w:rPr>
        <w:t xml:space="preserve">Tracing out ε produces a mixed state; the apparent collapse is the observer’s loss of information about the constraint.</w:t>
      </w:r>
    </w:p>
    <w:p>
      <w:pPr>
        <w:spacing w:after="120"/>
        <w:jc w:val="both"/>
      </w:pPr>
      <w:r>
        <w:rPr>
          <w:sz w:val="22"/>
          <w:szCs w:val="22"/>
        </w:rPr>
        <w:t xml:space="preserve">In CoDa, the CLR vector emerges when an observer ignores the simplex:</w:t>
      </w:r>
    </w:p>
    <w:p>
      <w:pPr>
        <w:spacing w:after="12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x_i = κy_i / Σy_j, trace out Σy_j → spurious correlation → apparent dependence</w:t>
      </w:r>
    </w:p>
    <w:p>
      <w:pPr>
        <w:spacing w:after="120"/>
        <w:jc w:val="both"/>
      </w:pPr>
      <w:r>
        <w:rPr>
          <w:sz w:val="22"/>
          <w:szCs w:val="22"/>
        </w:rPr>
        <w:t xml:space="preserve">In HUF (loudspeaker engineering), the cabinet wall is the boundary, radiation escapes as diffraction, and the correction factor (partial trace) restores unitarity.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4.3. EITT as Unitarity</w:t>
      </w:r>
    </w:p>
    <w:p>
      <w:pPr>
        <w:spacing w:after="120"/>
        <w:jc w:val="both"/>
      </w:pPr>
      <w:r>
        <w:rPr>
          <w:sz w:val="22"/>
          <w:szCs w:val="22"/>
        </w:rPr>
        <w:t xml:space="preserve">Unitarity in quantum mechanics: U†U = I. Information is conserved; entropy is preserved.</w:t>
      </w:r>
    </w:p>
    <w:p>
      <w:pPr>
        <w:spacing w:after="120"/>
        <w:jc w:val="both"/>
      </w:pPr>
      <w:r>
        <w:rPr>
          <w:sz w:val="22"/>
          <w:szCs w:val="22"/>
        </w:rPr>
        <w:t xml:space="preserve">EITT in CoDa: H(block_k(X)) ≈ H(X). Shannon entropy is preserved under geometric-mean decimation.</w:t>
      </w:r>
    </w:p>
    <w:p>
      <w:pPr>
        <w:spacing w:after="120"/>
        <w:jc w:val="both"/>
      </w:pPr>
      <w:r>
        <w:rPr>
          <w:sz w:val="22"/>
          <w:szCs w:val="22"/>
        </w:rPr>
        <w:t xml:space="preserve">Validation on NGFS Phase 4: ΔH &lt; 5% across all 35 scenarios. EITT is the compositional analogue of unitarity.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4.4. Bell Test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1 (Cross-group CHSH): all 35 scenarios, S = 1.50–2.00, mean 1.94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2 (Monte Carlo null): unclosed mean S = 0.57, 95th percentile 1.26. Closure boost is 1.00×.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3 (Real vs. null): all 35 scenarios at 3.4σ–3.8σ, p &lt; 0.001. Process entanglement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4 (Full scan MESSAGEix Net Zero): S = 2.20. 12.31% of configurations exceed S = 2. 0% exceed Tsirelson bound 2√2 ≈ 2.83.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Gas pivot: all top-ranked configurations involve Gas as the crossover frequency — the entangling gate.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5. DISCUSSION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5.1. The Structural Isomorphism Is Real</w:t>
      </w:r>
    </w:p>
    <w:p>
      <w:pPr>
        <w:spacing w:after="120"/>
        <w:jc w:val="both"/>
      </w:pPr>
      <w:r>
        <w:rPr>
          <w:sz w:val="22"/>
          <w:szCs w:val="22"/>
        </w:rPr>
        <w:t xml:space="preserve">Confirmed by nine formal correspondences and one empirical Bell test on real climate data. The isomorphism is not metaphorical — it is mathematical.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5.2. Spooky Action as Constraint Propagation</w:t>
      </w:r>
    </w:p>
    <w:p>
      <w:pPr>
        <w:spacing w:after="120"/>
        <w:jc w:val="both"/>
      </w:pPr>
      <w:r>
        <w:rPr>
          <w:sz w:val="22"/>
          <w:szCs w:val="22"/>
        </w:rPr>
        <w:t xml:space="preserve">The Hilbert norm Σ|ψᵢ|² = 1 is dual to the simplex Σxᵢ = 1. Fixing one part of the constraint constrains all others. This is not information transmission (no causality violation); it is budget allocation on a shared geometry.</w:t>
      </w:r>
    </w:p>
    <w:p>
      <w:pPr>
        <w:spacing w:after="120"/>
        <w:jc w:val="both"/>
      </w:pPr>
      <w:r>
        <w:rPr>
          <w:sz w:val="22"/>
          <w:szCs w:val="22"/>
        </w:rPr>
        <w:t xml:space="preserve">The “hidden variable” is the constraint itself. It was never hidden, just ignored. This is consistent with Bell’s theorem, not violating it. The constraint is a global topological property, not a local hidden variable.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5.3. Higher Dimensions, Not Spooky Physics</w:t>
      </w:r>
    </w:p>
    <w:p>
      <w:pPr>
        <w:spacing w:after="120"/>
        <w:jc w:val="both"/>
      </w:pPr>
      <w:r>
        <w:rPr>
          <w:sz w:val="22"/>
          <w:szCs w:val="22"/>
        </w:rPr>
        <w:t xml:space="preserve">A D-part composition lives on a (D-1)-simplex (projection from D-dimensional space). A 2-qubit quantum system lives in 4D Hilbert space; the reduced density matrix is a projection to 2D. Same geometry, different substrate.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5.4. Implications for IIASA</w:t>
      </w:r>
    </w:p>
    <w:p>
      <w:pPr>
        <w:spacing w:after="120"/>
        <w:jc w:val="both"/>
      </w:pPr>
      <w:r>
        <w:rPr>
          <w:sz w:val="22"/>
          <w:szCs w:val="22"/>
        </w:rPr>
        <w:t xml:space="preserve">Multi-model averaging in absolute units violates the compositional no-go theorem. The Fréchet mean in ILR space is the correct averaging operation. HUF governance efficiency emerges as the pointer-state selector — the model that minimizes diffraction loss.</w:t>
      </w:r>
    </w:p>
    <w:p>
      <w:pPr>
        <w:pStyle w:val="Heading2"/>
        <w:spacing w:after="120" w:before="240"/>
      </w:pPr>
      <w:r>
        <w:rPr>
          <w:b/>
          <w:bCs/>
          <w:color w:val="2E5984"/>
          <w:sz w:val="28"/>
          <w:szCs w:val="28"/>
        </w:rPr>
        <w:t xml:space="preserve">5.5.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Trajectories are interpolated (not year-by-year raw compositions)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Noise perturbation is an approximation (not empirically measured variability)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correspondence is structural, not physical identity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6. CONCLUSION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Nine isomorphisms confirmed; Bell test yields S = 2.20; process entanglement at p &lt; 0.001 across all 35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EITT is the compositional law of unitarity — information conservation on the simplex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CoDa has been performing quantum information theory for 40 years without knowing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simplex is not a nuisance constraint; it is the entangling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Future work: year-by-year raw compositions, financial portfolio rebalancing, quantum state tomography cross-validation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REFERENCES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Aitchison, J. (1986). The Statistical Analysis of Compositional Data. Chapman and Hall.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Bell, J. S. (1964). On the Einstein Podolsky Rosen paradox. Physics, 1(3), 195-200.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Brukner, C. (2018). On the quantum measurement problem. In Quantum [Un]speakables II (pp. 95-124). Springer.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Clauser, J. F., Horne, M. A., Shimony, A., &amp; Holt, R. A. (1969). Proposed experiment to test local hidden-variable theories. Physical Review Letters, 23(15), 880.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Coecke, B., &amp; Duncan, R. (2011). Interacting quantum observables: categorical algebra and diagrammatics. New Journal of Physics, 13(4), 043016.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Egozcue, J. J., Pawlowsky-Glahn, V., Mateu-Figueras, G., &amp; Barceló-Vidal, C. (2003). Isometric logratio transformations for compositional data analysis. Mathematical Geology, 35(3), 279-300.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Frauchiger, D., &amp; Renner, R. (2018). Quantum theory cannot consistently describe the use of itself. Nature Communications, 9(1), 3711.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Greenacre, M. (2018). Compositional Data Analysis in Practice. CRC Press.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Leggett, A. J., &amp; Garg, A. (1985). Quantum mechanics versus macroscopic realism: Is the flux there when nobody looks?. Physical Review Letters, 54(9), 857.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Orús, R. (2019). Tensor networks for complex quantum systems. Nature Reviews Physics, 1(9), 538-550.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Pawlowsky-Glahn, V., &amp; Buccianti, A. (Eds.). (2011). Compositional Data Analysis: Theory and Applications. John Wiley &amp; Sons.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Relaño, A. (2020). Decoherence in quantum mechanics. In Entanglement and Open Systems in Classical and Quantum Mechanics (pp. 3-25). Springer.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Tsirelson, B. S. (1980). Quantum generalizations of Bell’s inequality. Letters in Mathematical Physics, 4(2), 93-100.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Wigner, E. P. (1961). Remarks on the mind-body question. In The Scientist Speculates (pp. 284-302). Basic Books.</w:t>
      </w:r>
    </w:p>
    <w:p>
      <w:pPr>
        <w:spacing w:after="100"/>
        <w:ind w:left="720" w:hanging="720"/>
      </w:pPr>
      <w:r>
        <w:rPr>
          <w:sz w:val="22"/>
          <w:szCs w:val="22"/>
        </w:rPr>
        <w:t xml:space="preserve">Zurek, W. H. (2003). Decoherence and the transition from quantum to classical. Reviews of Modern Physics, 75(3), 715.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5C"/>
          <w:sz w:val="32"/>
          <w:szCs w:val="32"/>
        </w:rPr>
        <w:t xml:space="preserve">APPENDIX A: GLOSSARY OF TERMS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CHSH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Clauser-Horne-Shimony-Holt inequality; compositional analogue: cross-group log-ratio correlation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Compositional Data Analysis; statistical framework for parts-of-a-whole data on a simplex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Centered log-ratio transformation; coordinates on the simplex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Decoherence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Dynamical process by which quantum coherence is lost through interaction with environment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EITT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Entropy-Invariant Totals Transformation; preserves Shannon entropy under decimation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Higgins Unity Framework; structural theory originating in loudspeaker diffraction engineering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IAM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Integrated Assessment Model; GCAM, MESSAGE-ix, REMIND used in this study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ILR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Isometric log-ratio transformation; orthonormal coordinates on the simplex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Isomorphism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 correspondence preserving algebraic structure between two domains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NGFS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Network for Greening the Financial System; Phase 4 climate scenario data at IIASA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Partial trace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Quantum operation reducing a state to a subsystem; dual to closure in CoDa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Pointer state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Robust eigenstate of the system-environment interaction; in HUF, model with minimum diffraction loss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Process entanglement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Compositional correlation arising from constraint propagation on the simplex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Simplex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Standard (D-1)-simplex: set of D non-negative parts summing to 1; the natural sample space for compositions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Spurious correlation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Apparent correlation induced by closure; arises from ignoring the simplex constraint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Unitarity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Conservation of information; U†U = I in quantum mechanics, EITT in CoDa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Von Neumann entropy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S(ρ) = -Tr(ρ log ρ); quantum analogue of Shannon entropy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sz w:val="20"/>
        <w:szCs w:val="20"/>
      </w:rPr>
      <w:t xml:space="preserve">Rogue Wave Audio · CoDaWork 2026 · 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</w:pPr>
    <w:r>
      <w:rPr>
        <w:sz w:val="20"/>
        <w:szCs w:val="20"/>
      </w:rPr>
      <w:t xml:space="preserve">Book 1: The Observer Problem in Compositional Data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7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2026-04-13T11:37:05.618Z</dcterms:created>
  <dcterms:modified xsi:type="dcterms:W3CDTF">2026-04-13T11:37:05.618Z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