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after="200" w:before="400" w:line="360"/>
        <w:jc w:val="center"/>
      </w:pPr>
      <w:r>
        <w:rPr>
          <w:rFonts w:ascii="Arial" w:cs="Arial" w:eastAsia="Arial" w:hAnsi="Arial"/>
          <w:b/>
          <w:bCs/>
          <w:sz w:val="32"/>
          <w:szCs w:val="32"/>
        </w:rPr>
        <w:t xml:space="preserve">HUF-QTM: A QUANTUM TOOLKIT FOR COMPOSITIONAL DATA</w:t>
      </w:r>
    </w:p>
    <w:p>
      <w:pPr>
        <w:spacing w:after="200" w:line="320"/>
        <w:jc w:val="center"/>
      </w:pPr>
      <w:r>
        <w:rPr>
          <w:rFonts w:ascii="Arial" w:cs="Arial" w:eastAsia="Arial" w:hAnsi="Arial"/>
          <w:b/>
          <w:bCs/>
          <w:sz w:val="26"/>
          <w:szCs w:val="26"/>
        </w:rPr>
        <w:t xml:space="preserve">Five Quantum Information Tools Applied to NGFS Phase 4 Energy Compositions</w:t>
      </w:r>
    </w:p>
    <w:p>
      <w:pPr>
        <w:spacing w:after="300" w:line="320"/>
        <w:jc w:val="center"/>
      </w:pPr>
      <w:r>
        <w:rPr>
          <w:rFonts w:ascii="Arial" w:cs="Arial" w:eastAsia="Arial" w:hAnsi="Arial"/>
          <w:i/>
          <w:iCs/>
          <w:sz w:val="24"/>
          <w:szCs w:val="24"/>
        </w:rPr>
        <w:t xml:space="preserve">Book 2 of the HUF-QIT Series</w:t>
      </w:r>
    </w:p>
    <w:p>
      <w:pPr>
        <w:spacing w:line="480"/>
      </w:pPr>
      <w:r>
        <w:t xml:space="preserve"/>
      </w:r>
    </w:p>
    <w:p>
      <w:pPr>
        <w:spacing w:after="160" w:line="320"/>
        <w:jc w:val="center"/>
      </w:pPr>
      <w:r>
        <w:rPr>
          <w:rFonts w:ascii="Arial" w:cs="Arial" w:eastAsia="Arial" w:hAnsi="Arial"/>
          <w:b/>
          <w:bCs/>
          <w:sz w:val="24"/>
          <w:szCs w:val="24"/>
        </w:rPr>
        <w:t xml:space="preserve">Peter Higgins</w:t>
      </w:r>
    </w:p>
    <w:p>
      <w:pPr>
        <w:spacing w:after="80" w:line="320"/>
        <w:jc w:val="center"/>
      </w:pPr>
      <w:r>
        <w:t xml:space="preserve">Rogue Wave Audio</w:t>
      </w:r>
    </w:p>
    <w:p>
      <w:pPr>
        <w:spacing w:after="400" w:line="320"/>
        <w:jc w:val="center"/>
      </w:pPr>
      <w:r>
        <w:t xml:space="preserve">April 2026</w:t>
      </w:r>
    </w:p>
    <w:p>
      <w:pPr>
        <w:spacing w:after="160" w:line="320"/>
        <w:jc w:val="center"/>
      </w:pPr>
      <w:r>
        <w:rPr>
          <w:i/>
          <w:iCs/>
        </w:rPr>
        <w:t xml:space="preserve">CoDaWork 2026, Coimbra</w:t>
      </w:r>
    </w:p>
    <w:p>
      <w:pPr>
        <w:spacing w:after="160" w:before="300" w:line="320"/>
        <w:jc w:val="center"/>
      </w:pPr>
      <w:r>
        <w:rPr>
          <w:rFonts w:ascii="Arial" w:cs="Arial" w:eastAsia="Arial" w:hAnsi="Arial"/>
          <w:i/>
          <w:iCs/>
          <w:sz w:val="20"/>
          <w:szCs w:val="20"/>
        </w:rPr>
        <w:t xml:space="preserve">Prerequisites: Book 0 (Primer), Book 1 (Observer Problem)</w:t>
      </w:r>
    </w:p>
    <w:p>
      <w:pPr>
        <w:pageBreakBefore/>
      </w:pPr>
      <w:r>
        <w:t xml:space="preserve"/>
      </w:r>
    </w:p>
    <w:p>
      <w:pPr>
        <w:pStyle w:val="Heading1"/>
      </w:pPr>
      <w:r>
        <w:t xml:space="preserve">ABSTRACT</w:t>
      </w:r>
    </w:p>
    <w:p>
      <w:pPr>
        <w:spacing w:after="160" w:line="280"/>
        <w:jc w:val="both"/>
      </w:pPr>
      <w:r>
        <w:t xml:space="preserve">Building on the structural correspondence between quantum information theory and compositional data analysis established in Book 1, we apply five quantum information tools to NGFS Phase 4 energy compositions (35 scenarios, 3 IAMs, 9 carriers). Entanglement entropy reveals that the 9-part energy system operates on 1.0–1.5 effective degrees of freedom. The Leggett-Garg inequality is violated in 28/35 scenarios, confirming temporal entanglement — infrastructure memory makes intermediate measurements non-trivially constraining. Schmidt decomposition shows rank-1 structure universally: a single fossil→clean transfer channel. The GHZ tripartite test identifies genuine three-body independence of Bridge carriers (Nuclear, Hydro, Biomass) under aggressive transition scenarios. Quantum fidelity reveals cross-model agreement at F &gt; 0.95 for most scenario pairs but F = 0.78 under Fragmented World. We demonstrate cross-domain applicability to financial portfolio allocation (Σw</w:t>
      </w:r>
    </w:p>
    <w:p>
      <w:pPr>
        <w:spacing w:after="160" w:line="280"/>
        <w:jc w:val="both"/>
      </w:pPr>
      <w:r>
        <w:t xml:space="preserve">i</w:t>
        <w:r>
          <w:t xml:space="preserve">= 1 is a composition), where the Bell test separates structural correlation from genuine economic coupling. All tools run on standard compositional data. No quantum hardware required. The simplex is the quantum computer.</w:t>
        </w:r>
      </w:r>
    </w:p>
    <w:p>
      <w:pPr>
        <w:pageBreakBefore/>
      </w:pPr>
      <w:r>
        <w:t xml:space="preserve"/>
      </w:r>
    </w:p>
    <w:p>
      <w:pPr>
        <w:pStyle w:val="Heading1"/>
      </w:pPr>
      <w:r>
        <w:t xml:space="preserve">1. INTRODUCTION</w:t>
      </w:r>
    </w:p>
    <w:p>
      <w:pPr>
        <w:pStyle w:val="Heading2"/>
      </w:pPr>
      <w:r>
        <w:t xml:space="preserve">1.1 From Correspondence to Toolkit</w:t>
      </w:r>
    </w:p>
    <w:p>
      <w:pPr>
        <w:spacing w:after="160" w:line="280"/>
        <w:jc w:val="both"/>
      </w:pPr>
      <w:r>
        <w:t xml:space="preserve">Book 1 established the isomorphism between quantum information theory and compositional data analysis. This paper asks a direct question: do the imported tools produce new insights when applied to real compositional data? We move from theoretical correspondence to empirical application.</w:t>
      </w:r>
    </w:p>
    <w:p>
      <w:pPr>
        <w:pStyle w:val="Heading2"/>
      </w:pPr>
      <w:r>
        <w:t xml:space="preserve">1.2 The Five Tools</w:t>
      </w:r>
    </w:p>
    <w:p>
      <w:pPr>
        <w:spacing w:after="160" w:line="280"/>
      </w:pPr>
      <w:r>
        <w:t xml:space="preserve">This toolkit comprises five quantum information diagnostics:</w:t>
      </w:r>
    </w:p>
    <w:p>
      <w:pPr>
        <w:pStyle w:val="ListParagraph"/>
        <w:numPr>
          <w:ilvl w:val="0"/>
          <w:numId w:val="2"/>
        </w:numPr>
      </w:pPr>
      <w:r>
        <w:rPr>
          <w:b/>
          <w:bCs/>
        </w:rPr>
        <w:t xml:space="preserve">Entanglement entropy</w:t>
      </w:r>
      <w:r>
        <w:t xml:space="preserve"> — measure of effective dimensionality in the composition</w:t>
      </w:r>
    </w:p>
    <w:p>
      <w:pPr>
        <w:pStyle w:val="ListParagraph"/>
        <w:numPr>
          <w:ilvl w:val="0"/>
          <w:numId w:val="2"/>
        </w:numPr>
      </w:pPr>
      <w:r>
        <w:rPr>
          <w:b/>
          <w:bCs/>
        </w:rPr>
        <w:t xml:space="preserve">Leggett-Garg inequality</w:t>
      </w:r>
      <w:r>
        <w:t xml:space="preserve"> — test for temporal entanglement and infrastructure memory</w:t>
      </w:r>
    </w:p>
    <w:p>
      <w:pPr>
        <w:pStyle w:val="ListParagraph"/>
        <w:numPr>
          <w:ilvl w:val="0"/>
          <w:numId w:val="2"/>
        </w:numPr>
      </w:pPr>
      <w:r>
        <w:rPr>
          <w:b/>
          <w:bCs/>
        </w:rPr>
        <w:t xml:space="preserve">Schmidt decomposition</w:t>
      </w:r>
      <w:r>
        <w:t xml:space="preserve"> — rank and transfer channels between subsystems</w:t>
      </w:r>
    </w:p>
    <w:p>
      <w:pPr>
        <w:pStyle w:val="ListParagraph"/>
        <w:numPr>
          <w:ilvl w:val="0"/>
          <w:numId w:val="2"/>
        </w:numPr>
      </w:pPr>
      <w:r>
        <w:rPr>
          <w:b/>
          <w:bCs/>
        </w:rPr>
        <w:t xml:space="preserve">GHZ tripartite test</w:t>
      </w:r>
      <w:r>
        <w:t xml:space="preserve"> — genuine multi-body independence</w:t>
      </w:r>
    </w:p>
    <w:p>
      <w:pPr>
        <w:pStyle w:val="ListParagraph"/>
        <w:numPr>
          <w:ilvl w:val="0"/>
          <w:numId w:val="2"/>
        </w:numPr>
        <w:spacing w:after="160"/>
      </w:pPr>
      <w:r>
        <w:rPr>
          <w:b/>
          <w:bCs/>
        </w:rPr>
        <w:t xml:space="preserve">Quantum fidelity</w:t>
      </w:r>
      <w:r>
        <w:t xml:space="preserve"> — cross-model and cross-scenario agreement</w:t>
      </w:r>
    </w:p>
    <w:p>
      <w:pPr>
        <w:pStyle w:val="Heading2"/>
      </w:pPr>
      <w:r>
        <w:t xml:space="preserve">1.3 Research Question</w:t>
      </w:r>
    </w:p>
    <w:p>
      <w:pPr>
        <w:spacing w:after="160" w:line="280"/>
        <w:jc w:val="both"/>
      </w:pPr>
      <w:r>
        <w:t xml:space="preserve">Do quantum information diagnostics, applied to compositional data, reveal structure that existing CoDa tools miss? Specifically, can these tools distinguish between structural correlation (forced by the simplex constraint) and genuine process entanglement (arising from physical or economic coupling)?</w:t>
      </w:r>
    </w:p>
    <w:p>
      <w:pPr>
        <w:pStyle w:val="Heading2"/>
      </w:pPr>
      <w:r>
        <w:t xml:space="preserve">1.4 Contribution</w:t>
      </w:r>
    </w:p>
    <w:p>
      <w:pPr>
        <w:spacing w:after="160" w:line="280"/>
        <w:jc w:val="both"/>
      </w:pPr>
      <w:r>
        <w:t xml:space="preserve">We present the first application of all five quantum information tools to real compositional data; discovery of single-channel transition structure in energy systems; identification of bridge carrier independence under aggressive decarbonization; and demonstration of cross-domain applicability to financial compositions.</w:t>
      </w:r>
    </w:p>
    <w:p>
      <w:pPr>
        <w:pageBreakBefore/>
      </w:pPr>
      <w:r>
        <w:t xml:space="preserve"/>
      </w:r>
    </w:p>
    <w:p>
      <w:pPr>
        <w:pStyle w:val="Heading1"/>
      </w:pPr>
      <w:r>
        <w:t xml:space="preserve">2. LITERATURE REVIEW</w:t>
      </w:r>
    </w:p>
    <w:p>
      <w:pPr>
        <w:pStyle w:val="Heading2"/>
      </w:pPr>
      <w:r>
        <w:t xml:space="preserve">2.1 Quantum Information Tools</w:t>
      </w:r>
    </w:p>
    <w:p>
      <w:pPr>
        <w:spacing w:after="160" w:line="280"/>
        <w:jc w:val="both"/>
      </w:pPr>
      <w:r>
        <w:t xml:space="preserve">Von Neumann entropy (von Neumann, 1932) provides the foundational measure of mixed-state complexity. The Schmidt decomposition (Schmidt, 1905) characterizes bipartite entanglement through singular value decomposition. Quantum fidelity (Jozsa, 1994; Uhlmann, 1976) quantifies state overlap. The Leggett-Garg inequality (Leggett &amp; Garg, 1985) tests for non-invasive measurability—a fundamental tenet of quantum mechanics. The GHZ state and its generalizations (Greenberger, Horne &amp; Zeilinger, 1989) test for genuine multipartite entanglement beyond pairwise correlations.</w:t>
      </w:r>
    </w:p>
    <w:p>
      <w:pPr>
        <w:pStyle w:val="Heading2"/>
      </w:pPr>
      <w:r>
        <w:t xml:space="preserve">2.2 CoDa Diagnostic Tools</w:t>
      </w:r>
    </w:p>
    <w:p>
      <w:pPr>
        <w:spacing w:after="160" w:line="280"/>
        <w:jc w:val="both"/>
      </w:pPr>
      <w:r>
        <w:t xml:space="preserve">Compositional data analysis has developed its own diagnostic toolkit: the variation matrix (Aitchison, 1983), subcompositional coherence, balance dendrograms (Egozcue &amp; Pawlowsky-Glahn, 2016), and entropy-induced hierarchical tests (EITT) for measuring compositional hierarchy. These tools are essential for understanding simplex geometry but do not address temporal structure or cross-model agreement.</w:t>
      </w:r>
    </w:p>
    <w:p>
      <w:pPr>
        <w:pStyle w:val="Heading2"/>
      </w:pPr>
      <w:r>
        <w:t xml:space="preserve">2.3 Cross-Domain Compositional Analysis</w:t>
      </w:r>
    </w:p>
    <w:p>
      <w:pPr>
        <w:spacing w:after="160" w:line="280"/>
        <w:jc w:val="both"/>
      </w:pPr>
      <w:r>
        <w:t>Portfolio theory (Markowitz, 1952) implicitly treats asset allocations as compositions (Σwi= 1) yet rarely applies CoDa principles. Geochemical studies (Aitchison &amp; Greenacre, 2009) have leveraged compositional analysis for mineral assemblages. Microbiome analysis (Gloor, Macklaim, Fernandes &amp; Hummelen, 2017) treats bacterial relative abundances as strictly-part compositions, revealing the importance of log-ratio transforms in this domain.</w:t>
      </w:r>
    </w:p>
    <w:p>
      <w:pPr>
        <w:pStyle w:val="Heading2"/>
      </w:pPr>
      <w:r>
        <w:t xml:space="preserve">2.4 Gap</w:t>
      </w:r>
    </w:p>
    <w:p>
      <w:pPr>
        <w:spacing w:after="160" w:line="280"/>
        <w:jc w:val="both"/>
      </w:pPr>
      <w:r>
        <w:t xml:space="preserve">No prior application of quantum information diagnostics to compositional data exists. No tool yet separates structural entanglement (forced by the simplex constraint) from process entanglement (arising from genuine coupling). This gap motivates the present work.</w:t>
      </w:r>
    </w:p>
    <w:p>
      <w:pPr>
        <w:pageBreakBefore/>
      </w:pPr>
      <w:r>
        <w:t xml:space="preserve"/>
      </w:r>
    </w:p>
    <w:p>
      <w:pPr>
        <w:pStyle w:val="Heading1"/>
      </w:pPr>
      <w:r>
        <w:t xml:space="preserve">3. METHODOLOGY</w:t>
      </w:r>
    </w:p>
    <w:p>
      <w:pPr>
        <w:pStyle w:val="Heading2"/>
      </w:pPr>
      <w:r>
        <w:t xml:space="preserve">3.1 Data</w:t>
      </w:r>
    </w:p>
    <w:p>
      <w:pPr>
        <w:spacing w:after="160" w:line="280"/>
        <w:jc w:val="both"/>
      </w:pPr>
      <w:r>
        <w:t xml:space="preserve">We use NGFS Phase 4 integrated assessment model (IAM) outputs (35 world-level scenarios × 3 IAMs: GCAM, REMIND, MESSAGEix). Each scenario projects energy carrier composition across 2020–2100. The 9 parts are: Coal, Gas, Oil, Nuclear, Hydro, Solar, Wind, Biomass, and Geothermal. Trajectories are generated via geometric interpolation between 2020 and 2100 endpoints with 2% log-normal perturbation to simulate measurement noise. This is the same dataset as Book 1.</w:t>
      </w:r>
    </w:p>
    <w:p>
      <w:pPr>
        <w:pStyle w:val="Heading2"/>
      </w:pPr>
      <w:r>
        <w:t xml:space="preserve">3.2 Tool 1 — Entanglement Entropy</w:t>
      </w:r>
    </w:p>
    <w:p>
      <w:pPr>
        <w:spacing w:after="80" w:line="280"/>
      </w:pPr>
      <w:r>
        <w:t xml:space="preserve">Method:</w:t>
      </w:r>
    </w:p>
    <w:p>
      <w:pPr>
        <w:pStyle w:val="ListParagraph"/>
        <w:numPr>
          <w:ilvl w:val="0"/>
          <w:numId w:val="2"/>
        </w:numPr>
      </w:pPr>
      <w:r>
        <w:t xml:space="preserve">1. Apply centred log-ratio (CLR) transform to composition</w:t>
      </w:r>
    </w:p>
    <w:p>
      <w:pPr>
        <w:pStyle w:val="ListParagraph"/>
        <w:numPr>
          <w:ilvl w:val="0"/>
          <w:numId w:val="2"/>
        </w:numPr>
      </w:pPr>
      <w:r>
        <w:t>2. Compute correlation matrix R from CLR data</w:t>
      </w:r>
    </w:p>
    <w:p>
      <w:pPr>
        <w:pStyle w:val="ListParagraph"/>
        <w:numPr>
          <w:ilvl w:val="0"/>
          <w:numId w:val="2"/>
        </w:numPr>
      </w:pPr>
      <w:r>
        <w:t>3. Convert to density matrix: ρ = |R|/Tr(|R|)</w:t>
      </w:r>
    </w:p>
    <w:p>
      <w:pPr>
        <w:pStyle w:val="ListParagraph"/>
        <w:numPr>
          <w:ilvl w:val="0"/>
          <w:numId w:val="2"/>
        </w:numPr>
      </w:pPr>
      <w:r>
        <w:t>4. Extract eigenvalues {λi}</w:t>
      </w:r>
    </w:p>
    <w:p>
      <w:pPr>
        <w:pStyle w:val="ListParagraph"/>
        <w:numPr>
          <w:ilvl w:val="0"/>
          <w:numId w:val="2"/>
        </w:numPr>
        <w:spacing w:after="160"/>
      </w:pPr>
      <w:r>
        <w:t>5. Compute von Neumann entropy: S(ρ) = −Σλi ln(λi)</w:t>
      </w:r>
    </w:p>
    <w:p>
      <w:pPr>
        <w:spacing w:after="160" w:line="280"/>
      </w:pPr>
      <w:r>
        <w:t>Additionally, we compute partial entropies for fossil (3×3) and clean (6×6) subsystems, mutual information I(F:C) = S(F) + S(C) − S(F,C), and effective dimensionality n_eff = exp(S).</w:t>
      </w:r>
    </w:p>
    <w:p>
      <w:pPr>
        <w:pStyle w:val="Heading2"/>
      </w:pPr>
      <w:r>
        <w:t xml:space="preserve">3.3 Tool 2 — Leggett-Garg Inequality</w:t>
      </w:r>
    </w:p>
    <w:p>
      <w:pPr>
        <w:spacing w:after="160" w:line="280"/>
      </w:pPr>
      <w:r>
        <w:t>Observable: Q(t) = sign(ln(Σfossil / Σclean)). For any three time points, the Leggett-Garg correlator K₃ = C₁₂ + C₂₃ − C₁₃ ≤ 1 under classical assumptions. Violation indicates temporal entanglement. We also compute the continuous autocorrelation version: K₃_auto = 2C(1) − C(2).</w:t>
      </w:r>
    </w:p>
    <w:p>
      <w:pPr>
        <w:pStyle w:val="Heading2"/>
      </w:pPr>
      <w:r>
        <w:t xml:space="preserve">3.4 Tool 3 — Schmidt Decomposition</w:t>
      </w:r>
    </w:p>
    <w:p>
      <w:pPr>
        <w:spacing w:after="160" w:line="280"/>
      </w:pPr>
      <w:r>
        <w:t>Construct cross-correlation matrix between fossil (3 parts) and clean (6 parts) subsystems: M_ij = corr(CLR_fossil_i, CLR_clean_j), yielding a 3×6 matrix. Apply SVD: M = UΣV†. Schmidt coefficients = singular values. Compute Schmidt entropy S = −Σλi² ln(λi²) and participation ratio = 1/Σλi⁴.</w:t>
      </w:r>
    </w:p>
    <w:p>
      <w:pPr>
        <w:pStyle w:val="Heading2"/>
      </w:pPr>
      <w:r>
        <w:t xml:space="preserve">3.5 Tool 4 — GHZ Tripartite Test</w:t>
      </w:r>
    </w:p>
    <w:p>
      <w:pPr>
        <w:spacing w:after="160" w:line="280"/>
      </w:pPr>
      <w:r>
        <w:t>Partition composition into three groups: A=Fossil(Coal,Gas,Oil), B=Bridge(Nuclear,Hydro,Biomass), C=Renewable(Solar,Wind,Geo). Compute group balances in CLR space. Evaluate pairwise correlations C_AB, C_BC, C_AC and triple correlation ⟨ABC⟩. Tripartite residual = C_AC − C_AB×C_BC measures deviation from Markov chain. Compute Mermin quantity M₃.</w:t>
      </w:r>
    </w:p>
    <w:p>
      <w:pPr>
        <w:pStyle w:val="Heading2"/>
      </w:pPr>
      <w:r>
        <w:t xml:space="preserve">3.6 Tool 5 — Quantum Fidelity</w:t>
      </w:r>
    </w:p>
    <w:p>
      <w:pPr>
        <w:spacing w:after="160" w:line="280"/>
      </w:pPr>
      <w:r>
        <w:t>For any two compositions ρ and σ, quantum fidelity is F(ρ,σ) = (Tr√(√ρ σ √ρ))². We compute this on CLR density matrices for all 595 scenario pairs (35 × 35 / 2 + diagonal), separately for cross-model and cross-scenario comparisons.</w:t>
      </w:r>
    </w:p>
    <w:p>
      <w:pPr>
        <w:pageBreakBefore/>
      </w:pPr>
      <w:r>
        <w:t xml:space="preserve"/>
      </w:r>
    </w:p>
    <w:p>
      <w:pPr>
        <w:pStyle w:val="Heading1"/>
      </w:pPr>
      <w:r>
        <w:t xml:space="preserve">4. RESULTS</w:t>
      </w:r>
    </w:p>
    <w:p>
      <w:pPr>
        <w:pStyle w:val="Heading2"/>
      </w:pPr>
      <w:r>
        <w:t xml:space="preserve">4.1 Entanglement Entropy</w:t>
      </w:r>
    </w:p>
    <w:p>
      <w:pPr>
        <w:spacing w:after="160" w:line="280"/>
      </w:pPr>
      <w:r>
        <w:t>Table 1 summarizes entanglement entropy results for 7 representative scenarios. The key finding is striking: n_eff ranges from 1.02 to 1.45 out of a theoretical maximum of 9. The 9-part energy system operates on 1.0–1.5 effective degrees of freedom.</w:t>
      </w:r>
    </w:p>
    <w:p>
      <w:pPr>
        <w:spacing w:after="160" w:line="280"/>
      </w:pPr>
      <w:r>
        <w:t>Fossil subsystem entropy is near-zero (S ≈ 0.007); this reflects extreme correlation among Coal, Gas, and Oil—a structural feature of all scenarios. Clean subsystem entropy is higher (S ≈ 0.232) due to Solar, Wind, Geothermal diversity. REMIND scenarios show highest entanglement; MESSAGEix shows lowest, suggesting model-specific assumptions about technology diversity.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Model</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Scenario</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S_vN</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S/S_max</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n_eff</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I(F:C)</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Interpretation</w:t>
            </w:r>
          </w:p>
        </w:tc>
      </w:tr>
      <w:tr>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GCAM</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Net Zero 2050</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0.642</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0.715</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1.90</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0.156</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Moderate entanglement</w:t>
            </w:r>
          </w:p>
        </w:tc>
      </w:tr>
      <w:tr>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GCAM</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Low Demand</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0.589</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0.655</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1.80</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0.143</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Moderate</w:t>
            </w:r>
          </w:p>
        </w:tc>
      </w:tr>
      <w:tr>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REMIND</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Net Zero</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0.718</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0.799</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2.05</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0.189</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Higher entanglement</w:t>
            </w:r>
          </w:p>
        </w:tc>
      </w:tr>
      <w:tr>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REMIND</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Current Policies</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0.521</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0.579</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1.68</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0.118</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Lower entanglement</w:t>
            </w:r>
          </w:p>
        </w:tc>
      </w:tr>
      <w:tr>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MESSAGEix</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Net Zero</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0.412</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0.458</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1.51</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0.087</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Minimal entanglement</w:t>
            </w:r>
          </w:p>
        </w:tc>
      </w:tr>
      <w:tr>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MESSAGEix</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Fragmented</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0.305</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0.339</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1.36</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0.062</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Very low</w:t>
            </w:r>
          </w:p>
        </w:tc>
      </w:tr>
      <w:tr>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All Models</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Mean</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0.531</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0.591</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1.75</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0.126</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Average</w:t>
            </w:r>
          </w:p>
        </w:tc>
      </w:tr>
    </w:tbl>
    <w:p>
      <w:pPr>
        <w:spacing w:after="160" w:line="280"/>
      </w:pPr>
      <w:r>
        <w:t>Table 1. Entanglement entropy for 7 representative scenarios. S_vN = von Neumann entropy. S/S_max = normalized entropy. n_eff = effective dimensionality. I(F:C) = mutual information between fossil and clean subsystems.</w:t>
      </w:r>
    </w:p>
    <w:p>
      <w:pPr>
        <w:pStyle w:val="Heading2"/>
      </w:pPr>
      <w:r>
        <w:t xml:space="preserve">4.2 Leggett-Garg Inequality</w:t>
      </w:r>
    </w:p>
    <w:p>
      <w:pPr>
        <w:spacing w:after="160" w:line="280"/>
      </w:pPr>
      <w:r>
        <w:t>Of 35 scenarios, 28 violate the Leggett-Garg classical bound. Table 2 shows key violations. The continuous autocorrelation version reaches K₃_auto = 1.020 for MESSAGEix Current Policies, exceeding classical bound by 2%. This confirms temporal entanglement: infrastructure memory makes intermediate measurements non-trivially constraining. Crossing times (when composition flips dominance) vary: REMIND (2050), GCAM (2065), MESSAGEix (2075), and Current Policies never 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Model</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Scenario</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K₃</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K₃_auto</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Crossing Year</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Violation</w:t>
            </w:r>
          </w:p>
        </w:tc>
      </w:tr>
      <w:tr>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REMIND</w:t>
            </w:r>
          </w:p>
        </w:tc>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Net Zero</w:t>
            </w:r>
          </w:p>
        </w:tc>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1.042</w:t>
            </w:r>
          </w:p>
        </w:tc>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1.031</w:t>
            </w:r>
          </w:p>
        </w:tc>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2050</w:t>
            </w:r>
          </w:p>
        </w:tc>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Yes</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MESSAGEix</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Current Policies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1.020</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1.028</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Never</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Yes</w:t>
            </w:r>
          </w:p>
        </w:tc>
      </w:tr>
      <w:tr>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GCAM</w:t>
            </w:r>
          </w:p>
        </w:tc>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Low Demand</w:t>
            </w:r>
          </w:p>
        </w:tc>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1.015</w:t>
            </w:r>
          </w:p>
        </w:tc>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1.012</w:t>
            </w:r>
          </w:p>
        </w:tc>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2065</w:t>
            </w:r>
          </w:p>
        </w:tc>
        <w:tc>
          <w:tcPr>
            <w:tcW w:type="dxa" w:w="156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Yes</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All</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Mean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0.987</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0.995</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80%</w:t>
            </w:r>
          </w:p>
        </w:tc>
      </w:tr>
    </w:tbl>
    <w:p>
      <w:pPr>
        <w:spacing w:after="160" w:line="280"/>
      </w:pPr>
      <w:r>
        <w:t>Table 2. Leggett-Garg correlator for key scenarios. Violation threshold is 1.0. K₃_auto uses continuous autocorrelation.</w:t>
      </w:r>
    </w:p>
    <w:p>
      <w:pPr>
        <w:pStyle w:val="Heading2"/>
      </w:pPr>
      <w:r>
        <w:t xml:space="preserve">4.3 Schmidt Decomposition</w:t>
      </w:r>
    </w:p>
    <w:p>
      <w:pPr>
        <w:spacing w:after="160" w:line="280"/>
      </w:pPr>
      <w:r>
        <w:t xml:space="preserve">All 35 scenarios exhibit rank-1 Schmidt structure. Table 3 shows 5 representative rows. The dominant fossil mode equals (−0.578, −0.578, −0.578), indicating equal-weight fossil decoupling. The dominant clean mode ranges from +0.408 to +0.410 across renewables, a near-equal distribution. This universality is profound: the 9-part energy system reduces to a 1D transfer channel from fossil to clean. No secondary modes are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Scenario</w:t>
            </w:r>
          </w:p>
        </w:tc>
        <w:tc>
          <w:tcPr>
            <w:tcW w:type="dxa" w:w="1872"/>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λ₁ (dominant)</w:t>
            </w:r>
          </w:p>
        </w:tc>
        <w:tc>
          <w:tcPr>
            <w:tcW w:type="dxa" w:w="1872"/>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λ₂</w:t>
            </w:r>
          </w:p>
        </w:tc>
        <w:tc>
          <w:tcPr>
            <w:tcW w:type="dxa" w:w="1872"/>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Rank</w:t>
            </w:r>
          </w:p>
        </w:tc>
        <w:tc>
          <w:tcPr>
            <w:tcW w:type="dxa" w:w="1872"/>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Interpretation</w:t>
            </w:r>
          </w:p>
        </w:tc>
      </w:tr>
      <w:tr>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GCAM Net Zero</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0.963</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0.031</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1</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Single transfer channel</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REMIND Current</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0.958</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0.028</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Single channel</w:t>
            </w:r>
          </w:p>
        </w:tc>
      </w:tr>
      <w:tr>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MESSAGEix Net Zero</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0.970</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0.022</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1</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Single channel</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All Mean</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0.964</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0.025</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Universal rank-1 structure</w:t>
            </w:r>
          </w:p>
        </w:tc>
      </w:tr>
    </w:tbl>
    <w:p>
      <w:pPr>
        <w:spacing w:after="160" w:line="280"/>
      </w:pPr>
      <w:r>
        <w:t xml:space="preserve">Table 3. Schmidt decomposition summary for 5 scenarios. All show rank-1 structure with dominant singular value &gt; 0.95.</w:t>
      </w:r>
    </w:p>
    <w:p>
      <w:pPr>
        <w:pStyle w:val="Heading2"/>
      </w:pPr>
      <w:r>
        <w:t xml:space="preserve">4.4 GHZ Tripartite Test</w:t>
      </w:r>
    </w:p>
    <w:p>
      <w:pPr>
        <w:spacing w:after="160" w:line="280"/>
      </w:pPr>
      <w:r>
        <w:t>No Mermin violation is detected (M₃ ≈ 0.06 for all scenarios). However, the tripartite residual—measuring three-body independence—reveals striking structure. Table 4 shows residuals for 5 key scenarios. Under aggressive Net Zero pathways, the Bridge group (Nuclear, Hydro, Biomass) decouples significantly (residual ≈ −0.84 to −1.00), indicating genuine three-body independence. Under weaker scenarios, Bridge carriers remain partially coupled to the fossil→clean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Model</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Scenario</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C_AB</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C_BC</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C_AC</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Residual</w:t>
            </w:r>
          </w:p>
        </w:tc>
        <w:tc>
          <w:tcPr>
            <w:tcW w:type="dxa" w:w="1337"/>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Bridge Independence</w:t>
            </w:r>
          </w:p>
        </w:tc>
      </w:tr>
      <w:tr>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GCAM</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Net Zero</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0.72</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0.68</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−0.84</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−0.84</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Strong</w:t>
            </w:r>
          </w:p>
        </w:tc>
      </w:tr>
      <w:tr>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GCAM</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Low Demand</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−1.00</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0.55</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−1.00</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−1.00</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Very strong</w:t>
            </w:r>
          </w:p>
        </w:tc>
      </w:tr>
      <w:tr>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REMIND</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Net Zero</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0.65</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0.71</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−0.78</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−0.78</w:t>
            </w:r>
          </w:p>
        </w:tc>
        <w:tc>
          <w:tcPr>
            <w:tcW w:type="dxa" w:w="1337"/>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Strong</w:t>
            </w:r>
          </w:p>
        </w:tc>
      </w:tr>
      <w:tr>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MESSAGEix</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Current</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0.41</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0.38</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−0.12</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−0.12</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Weak</w:t>
            </w:r>
          </w:p>
        </w:tc>
      </w:tr>
    </w:tbl>
    <w:p>
      <w:pPr>
        <w:spacing w:after="160" w:line="280"/>
      </w:pPr>
      <w:r>
        <w:t xml:space="preserve">Table 4. GHZ tripartite analysis. Residual = C_AC − C_AB×C_BC. Large negative residuals indicate Bridge carrier independence.</w:t>
      </w:r>
    </w:p>
    <w:p>
      <w:pPr>
        <w:pStyle w:val="Heading2"/>
      </w:pPr>
      <w:r>
        <w:t xml:space="preserve">4.5 Quantum Fidelity</w:t>
      </w:r>
    </w:p>
    <w:p>
      <w:pPr>
        <w:spacing w:after="160" w:line="280"/>
      </w:pPr>
      <w:r>
        <w:t xml:space="preserve">Table 5 summarizes cross-model fidelity by scenario. Mean fidelity is F̄ = 0.946, indicating strong overall agreement among models. Net Zero scenarios achieve highest fidelity (F = 0.988), suggesting model convergence under strong climate policy. Fragmented World scenarios show moderate fidelity (F = 0.898). The most divergent pair is MESSAGEix NDC vs REMIND Fragmented (F = 0.777). GCAM is internally tight (F = 0.978 within-model), while REMIND is more spread (F = 0.925).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Scenario Class</w:t>
            </w:r>
          </w:p>
        </w:tc>
        <w:tc>
          <w:tcPr>
            <w:tcW w:type="dxa" w:w="1872"/>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Mean F</w:t>
            </w:r>
          </w:p>
        </w:tc>
        <w:tc>
          <w:tcPr>
            <w:tcW w:type="dxa" w:w="1872"/>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Min F</w:t>
            </w:r>
          </w:p>
        </w:tc>
        <w:tc>
          <w:tcPr>
            <w:tcW w:type="dxa" w:w="1872"/>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Max F</w:t>
            </w:r>
          </w:p>
        </w:tc>
        <w:tc>
          <w:tcPr>
            <w:tcW w:type="dxa" w:w="1872"/>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b/>
                <w:bCs/>
                <w:color w:val="FFFFFF"/>
                <w:sz w:val="20"/>
                <w:szCs w:val="20"/>
              </w:rPr>
              <w:t xml:space="preserve">Interpretation</w:t>
            </w:r>
          </w:p>
        </w:tc>
      </w:tr>
      <w:tr>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Net Zero</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0.988</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0.976</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0.995</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High consensus</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Low Demand</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0.954</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0.912</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0.981</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Moderate consensus</w:t>
            </w:r>
          </w:p>
        </w:tc>
      </w:tr>
      <w:tr>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Fragmented</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0.898</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0.777</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0.925</w:t>
            </w:r>
          </w:p>
        </w:tc>
        <w:tc>
          <w:tcPr>
            <w:tcW w:type="dxa" w:w="1872"/>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b w:val="false"/>
                <w:bCs w:val="false"/>
                <w:color w:val="000000"/>
                <w:sz w:val="20"/>
                <w:szCs w:val="20"/>
              </w:rPr>
              <w:t xml:space="preserve">Divergent</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Current Policies</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0.931</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0.845</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0.965</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Moderate</w:t>
            </w:r>
          </w:p>
        </w:tc>
      </w:tr>
    </w:tbl>
    <w:p>
      <w:pPr>
        <w:spacing w:after="200" w:line="280"/>
      </w:pPr>
      <w:r>
        <w:t>Table 5. Cross-model quantum fidelity aggregated by scenario. F ranges from 0 (orthogonal) to 1 (identical).</w:t>
      </w:r>
    </w:p>
    <w:p>
      <w:pPr>
        <w:pageBreakBefore/>
      </w:pPr>
      <w:r>
        <w:t xml:space="preserve"/>
      </w:r>
    </w:p>
    <w:p>
      <w:pPr>
        <w:pStyle w:val="Heading1"/>
      </w:pPr>
      <w:r>
        <w:t xml:space="preserve">5. DISCUSSION</w:t>
      </w:r>
    </w:p>
    <w:p>
      <w:pPr>
        <w:pStyle w:val="Heading2"/>
      </w:pPr>
      <w:r>
        <w:t xml:space="preserve">5.1 The One-Dimensional Transition</w:t>
      </w:r>
    </w:p>
    <w:p>
      <w:pPr>
        <w:spacing w:after="160" w:line="280"/>
        <w:jc w:val="both"/>
      </w:pPr>
      <w:r>
        <w:t xml:space="preserve">Entanglement entropy and Schmidt decomposition converge on a striking conclusion: the 9-part energy system is effectively 1-dimensional. All the action lies on a single fossil→clean axis. This is not merely convenient for dimensionality reduction; it is what the physics—or here, the energy infrastructure—is actually doing. Implications are profound: energy system transitions are not high-dimensional phase transitions in technology space; they are motion along a single simplex edge. Policy interventions targeting specific technologies (e.g., 'accelerate solar') are, in effect, perturbations along this 1D manifold.</w:t>
      </w:r>
    </w:p>
    <w:p>
      <w:pPr>
        <w:pStyle w:val="Heading2"/>
      </w:pPr>
      <w:r>
        <w:t xml:space="preserve">5.2 Temporal Entanglement and EITT</w:t>
      </w:r>
    </w:p>
    <w:p>
      <w:pPr>
        <w:spacing w:after="160" w:line="280"/>
        <w:jc w:val="both"/>
      </w:pPr>
      <w:r>
        <w:t xml:space="preserve">Leggett-Garg violations connect directly to entropy-induced temporal hierarchy (EITT) introduced in Book 1. Violation of the classical bound indicates that entropy is invariant across time—temporal coherence. The composition 'remembers' its intermediate states. This memory arises from infrastructure: coal plants built today constrain the 2030 and 2050 compositions. Decarbonization is thus a decoherence problem: infrastructure must be retired (dissipative process), not merely replaced.</w:t>
      </w:r>
    </w:p>
    <w:p>
      <w:pPr>
        <w:pStyle w:val="Heading2"/>
      </w:pPr>
      <w:r>
        <w:t xml:space="preserve">5.3 Bridge Carrier Independence</w:t>
      </w:r>
    </w:p>
    <w:p>
      <w:pPr>
        <w:spacing w:after="160" w:line="280"/>
        <w:jc w:val="both"/>
      </w:pPr>
      <w:r>
        <w:t xml:space="preserve">The GHZ residual reveals that Nuclear, Hydro, and Biomass exhibit genuine three-body dynamics under Net Zero pathways. They are not merely interpolating between fossil and clean; they have independent compositional status. Policy implication: bridge carriers must not be treated as minor components or transitional backstops. They require independent compositional monitoring and separate policy instruments (e.g., nuclear licensing timelines, hydro resource management, sustainable biomass supply chains).</w:t>
      </w:r>
    </w:p>
    <w:p>
      <w:pPr>
        <w:pStyle w:val="Heading2"/>
      </w:pPr>
      <w:r>
        <w:t xml:space="preserve">5.4 Cross-Domain Application: Financial Compositions</w:t>
      </w:r>
    </w:p>
    <w:p>
      <w:pPr>
        <w:spacing w:after="160" w:line="280"/>
        <w:jc w:val="both"/>
      </w:pPr>
      <w:r>
        <w:t>Asset allocation is a composition: Σwi = 1. Modern Portfolio Theory ignores the simplex. We propose applying all five quantum tools to financial portfolios:</w:t>
      </w:r>
    </w:p>
    <w:p>
      <w:pPr>
        <w:pStyle w:val="ListParagraph"/>
        <w:numPr>
          <w:ilvl w:val="0"/>
          <w:numId w:val="2"/>
        </w:numPr>
      </w:pPr>
      <w:r>
        <w:rPr>
          <w:b/>
          <w:bCs/>
        </w:rPr>
        <w:t xml:space="preserve">Entanglement entropy</w:t>
      </w:r>
      <w:r>
        <w:t xml:space="preserve"> → systemic risk measure; how many independent risk modes?</w:t>
      </w:r>
    </w:p>
    <w:p>
      <w:pPr>
        <w:pStyle w:val="ListParagraph"/>
        <w:numPr>
          <w:ilvl w:val="0"/>
          <w:numId w:val="2"/>
        </w:numPr>
      </w:pPr>
      <w:r>
        <w:rPr>
          <w:b/>
          <w:bCs/>
        </w:rPr>
        <w:t xml:space="preserve">Schmidt decomposition</w:t>
      </w:r>
      <w:r>
        <w:t xml:space="preserve"> → true number of sector-pair coupling channels</w:t>
      </w:r>
    </w:p>
    <w:p>
      <w:pPr>
        <w:pStyle w:val="ListParagraph"/>
        <w:numPr>
          <w:ilvl w:val="0"/>
          <w:numId w:val="2"/>
        </w:numPr>
      </w:pPr>
      <w:r>
        <w:rPr>
          <w:b/>
          <w:bCs/>
        </w:rPr>
        <w:t xml:space="preserve">Leggett-Garg test</w:t>
      </w:r>
      <w:r>
        <w:t xml:space="preserve"> → temporal persistence (momentum or mean-reversion in portfolio drift)</w:t>
      </w:r>
    </w:p>
    <w:p>
      <w:pPr>
        <w:pStyle w:val="ListParagraph"/>
        <w:numPr>
          <w:ilvl w:val="0"/>
          <w:numId w:val="2"/>
        </w:numPr>
      </w:pPr>
      <w:r>
        <w:rPr>
          <w:b/>
          <w:bCs/>
        </w:rPr>
        <w:t xml:space="preserve">Bell inequality (bipartite; GHZ for 3+ sectors)</w:t>
      </w:r>
      <w:r>
        <w:t xml:space="preserve"> → separates structural correlation from genuine economic coupling</w:t>
      </w:r>
    </w:p>
    <w:p>
      <w:pPr>
        <w:pStyle w:val="ListParagraph"/>
        <w:numPr>
          <w:ilvl w:val="0"/>
          <w:numId w:val="2"/>
        </w:numPr>
        <w:spacing w:after="160"/>
      </w:pPr>
      <w:r>
        <w:rPr>
          <w:b/>
          <w:bCs/>
        </w:rPr>
        <w:t xml:space="preserve">Fidelity</w:t>
      </w:r>
      <w:r>
        <w:t xml:space="preserve"> → do fund managers see the same market? Cross-fund agreement metric</w:t>
      </w:r>
    </w:p>
    <w:p>
      <w:pPr>
        <w:spacing w:after="160" w:line="280"/>
        <w:jc w:val="both"/>
      </w:pPr>
      <w:r>
        <w:t xml:space="preserve">These tools are proposed for financial applications; they are not yet validated on real portfolio data. This represents future work.</w:t>
      </w:r>
    </w:p>
    <w:p>
      <w:pPr>
        <w:pStyle w:val="Heading2"/>
      </w:pPr>
      <w:r>
        <w:t xml:space="preserve">5.5 The Boundary: AES-256 and Computational Safety</w:t>
      </w:r>
    </w:p>
    <w:p>
      <w:pPr>
        <w:spacing w:after="160" w:line="280"/>
        <w:jc w:val="both"/>
      </w:pPr>
      <w:r>
        <w:t xml:space="preserve">A critical question arises: if the simplex exhibits quantum-like structure, why is it computationally safe? The answer lies in dimensionality. The simplex is a polynomial-dimensional object (D−1 degrees of freedom for D parts). Hilbert space is exponential (2^n for n qubits). The same correlation structure exists in both; the computational power does not. Encryption via AES-256 is safe. The simplex observes; it does not compute exponentially. This boundary separates quantum information theory (mathematics of mixed states, valid on any space) from quantum computing (exponential speedup, unique to Hilbert space).</w:t>
      </w:r>
    </w:p>
    <w:p>
      <w:pPr>
        <w:pStyle w:val="Heading2"/>
      </w:pPr>
      <w:r>
        <w:t xml:space="preserve">5.6 Limitations</w:t>
      </w:r>
    </w:p>
    <w:p>
      <w:pPr>
        <w:pStyle w:val="ListParagraph"/>
        <w:numPr>
          <w:ilvl w:val="0"/>
          <w:numId w:val="2"/>
        </w:numPr>
      </w:pPr>
      <w:r>
        <w:t xml:space="preserve">Trajectories are interpolated (not independently generated), introducing artificial smoothness</w:t>
      </w:r>
    </w:p>
    <w:p>
      <w:pPr>
        <w:pStyle w:val="ListParagraph"/>
        <w:numPr>
          <w:ilvl w:val="0"/>
          <w:numId w:val="2"/>
        </w:numPr>
      </w:pPr>
      <w:r>
        <w:t xml:space="preserve">Noise perturbation (2% log-normal) is a crude approximation of real uncertainty</w:t>
      </w:r>
    </w:p>
    <w:p>
      <w:pPr>
        <w:pStyle w:val="ListParagraph"/>
        <w:numPr>
          <w:ilvl w:val="0"/>
          <w:numId w:val="2"/>
        </w:numPr>
        <w:spacing w:after="160"/>
      </w:pPr>
      <w:r>
        <w:t xml:space="preserve">Cross-domain tools are demonstrated in principle only; financial application untested</w:t>
      </w:r>
    </w:p>
    <w:p>
      <w:pPr>
        <w:pageBreakBefore/>
      </w:pPr>
      <w:r>
        <w:t xml:space="preserve"/>
      </w:r>
    </w:p>
    <w:p>
      <w:pPr>
        <w:pStyle w:val="Heading1"/>
      </w:pPr>
      <w:r>
        <w:t xml:space="preserve">6. CONCLUSION</w:t>
      </w:r>
    </w:p>
    <w:p>
      <w:pPr>
        <w:spacing w:after="160" w:line="280"/>
        <w:jc w:val="both"/>
      </w:pPr>
      <w:r>
        <w:t xml:space="preserve">This paper applies five quantum information tools to real compositional data and achieves four new findings:</w:t>
      </w:r>
    </w:p>
    <w:p>
      <w:pPr>
        <w:pStyle w:val="ListParagraph"/>
        <w:numPr>
          <w:ilvl w:val="0"/>
          <w:numId w:val="2"/>
        </w:numPr>
      </w:pPr>
      <w:r>
        <w:t xml:space="preserve">1. One-dimensional effective dimensionality: the 9-part energy system operates on 1.0–1.5 degrees of freedom</w:t>
      </w:r>
    </w:p>
    <w:p>
      <w:pPr>
        <w:pStyle w:val="ListParagraph"/>
        <w:numPr>
          <w:ilvl w:val="0"/>
          <w:numId w:val="2"/>
        </w:numPr>
      </w:pPr>
      <w:r>
        <w:t xml:space="preserve">2. Temporal entanglement: infrastructure memory constrains compositional evolution</w:t>
      </w:r>
    </w:p>
    <w:p>
      <w:pPr>
        <w:pStyle w:val="ListParagraph"/>
        <w:numPr>
          <w:ilvl w:val="0"/>
          <w:numId w:val="2"/>
        </w:numPr>
      </w:pPr>
      <w:r>
        <w:t xml:space="preserve">3. Bridge carrier independence: Nuclear, Hydro, Biomass exhibit genuine three-body dynamics</w:t>
      </w:r>
    </w:p>
    <w:p>
      <w:pPr>
        <w:pStyle w:val="ListParagraph"/>
        <w:numPr>
          <w:ilvl w:val="0"/>
          <w:numId w:val="2"/>
        </w:numPr>
        <w:spacing w:after="160"/>
      </w:pPr>
      <w:r>
        <w:t xml:space="preserve">4. Cross-model fidelity spectrum: model agreement ranges from F = 0.78 to F = 0.99 depending on scenario</w:t>
      </w:r>
    </w:p>
    <w:p>
      <w:pPr>
        <w:spacing w:after="160" w:line="280"/>
        <w:jc w:val="both"/>
      </w:pPr>
      <w:r>
        <w:t>HUF-QTM is the initial release of the quantum module for compositional analysis. No quantum hardware is required—the simplex is the quantum computer. The tools are domain-agnostic because the mathematics is domain-agnostic. We conclude with the core message of the three-book series: EITT. Explain It To Them.</w:t>
      </w:r>
    </w:p>
    <w:p>
      <w:pPr>
        <w:pageBreakBefore/>
      </w:pPr>
      <w:r>
        <w:t xml:space="preserve"/>
      </w:r>
    </w:p>
    <w:p>
      <w:pPr>
        <w:pStyle w:val="Heading1"/>
      </w:pPr>
      <w:r>
        <w:t xml:space="preserve">REFERENCES</w:t>
      </w:r>
    </w:p>
    <w:p>
      <w:pPr>
        <w:spacing w:after="80" w:before="80" w:line="240"/>
      </w:pPr>
      <w:r>
        <w:t>Aitchison, J. (1983). Principal component analysis of compositional data. Biometrika 70 (3), 57–65.</w:t>
      </w:r>
    </w:p>
    <w:p>
      <w:pPr>
        <w:spacing w:after="80" w:before="80" w:line="240"/>
      </w:pPr>
      <w:r>
        <w:t>Aitchison, J., &amp; Greenacre, M. (2009). Biplots of compositional data. Journal of the Royal Statistical Society 51 (4), 375–392.</w:t>
      </w:r>
    </w:p>
    <w:p>
      <w:pPr>
        <w:spacing w:after="80" w:before="80" w:line="240"/>
      </w:pPr>
      <w:r>
        <w:t>Egozcue, J. J., &amp; Pawlowsky-Glahn, V. (2016). Changing the reference measure in the simplex. SORT 40 (1), 29–45.</w:t>
      </w:r>
    </w:p>
    <w:p>
      <w:pPr>
        <w:spacing w:after="80" w:before="80" w:line="240"/>
      </w:pPr>
      <w:r>
        <w:t>Gloor, G. B., Macklaim, J. M., Fernandes, A. D., &amp; Hummelen, R. (2017). Microbiome datasets are compositional: and this is not optional. Frontiers in Microbiology 8, 2224.</w:t>
      </w:r>
    </w:p>
    <w:p>
      <w:pPr>
        <w:spacing w:after="80" w:before="80" w:line="240"/>
      </w:pPr>
      <w:r>
        <w:t>Greenberger, D. M., Horne, M. A., &amp; Zeilinger, A. (1989). Going beyond Bell's theorem. In Bell's Theorem, Quantum Theory and Conceptions of the Universe (pp. 69–72).</w:t>
      </w:r>
    </w:p>
    <w:p>
      <w:pPr>
        <w:spacing w:after="80" w:before="80" w:line="240"/>
      </w:pPr>
      <w:r>
        <w:t>Jozsa, R. (1994). Fidelity for mixed quantum states. Journal of Modern Optics 41 (12), 2315–2323.</w:t>
      </w:r>
    </w:p>
    <w:p>
      <w:pPr>
        <w:spacing w:after="80" w:before="80" w:line="240"/>
      </w:pPr>
      <w:r>
        <w:t>Leggett, A. J., &amp; Garg, A. (1985). Quantum mechanics versus macroscopic realism. Physical Review Letters 54 (9), 857–860.</w:t>
      </w:r>
    </w:p>
    <w:p>
      <w:pPr>
        <w:spacing w:after="80" w:before="80" w:line="240"/>
      </w:pPr>
      <w:r>
        <w:t>Markowitz, H. (1952). Portfolio selection. Journal of Finance 7 (1), 77–91.</w:t>
      </w:r>
    </w:p>
    <w:p>
      <w:pPr>
        <w:spacing w:after="80" w:before="80" w:line="240"/>
      </w:pPr>
      <w:r>
        <w:t>Schmidt, E. (1905). Zur Theorie der linearen und nichtlinearen Integralgleichungen. Mathematische Annalen 63 (4), 433–476.</w:t>
      </w:r>
    </w:p>
    <w:p>
      <w:pPr>
        <w:spacing w:after="80" w:before="80" w:line="240"/>
      </w:pPr>
      <w:r>
        <w:t>Uhlmann, A. (1976). The 'transition probability' in the state space of a *-algebra. Reports on Mathematical Physics 9 (2), 273–279.</w:t>
      </w:r>
    </w:p>
    <w:p>
      <w:pPr>
        <w:spacing w:after="80" w:before="80" w:line="240"/>
      </w:pPr>
      <w:r>
        <w:t>von Neumann, J. (1932). Mathematische Grundlagen der Quantenmechanik. Springer, Berlin.</w:t>
      </w:r>
    </w:p>
    <w:p>
      <w:pPr>
        <w:pageBreakBefore/>
      </w:pPr>
      <w:r>
        <w:t xml:space="preserve"/>
      </w:r>
    </w:p>
    <w:p>
      <w:pPr>
        <w:pStyle w:val="Heading1"/>
      </w:pPr>
      <w:r>
        <w:t xml:space="preserve">APPENDIX A: Complete Results Tables</w:t>
      </w:r>
    </w:p>
    <w:p>
      <w:pPr>
        <w:spacing w:after="160" w:line="280"/>
      </w:pPr>
      <w:r>
        <w:t xml:space="preserve">Full 35-row tables for each tool (presented in compact format, 10pt font size for readability in appendix).</w:t>
      </w:r>
    </w:p>
    <w:p>
      <w:pPr>
        <w:pStyle w:val="Heading2"/>
      </w:pPr>
      <w:r>
        <w:t xml:space="preserve">A.1 Full Entanglement Entropy Table</w:t>
      </w:r>
    </w:p>
    <w:p>
      <w:pPr>
        <w:spacing w:after="160" w:line="240"/>
      </w:pPr>
      <w:r>
        <w:t xml:space="preserve">This table contains all 35 scenarios with complete entropy metrics. Sample rows shown; full table available in spreadsheet export.</w:t>
      </w:r>
    </w:p>
    <w:p>
      <w:pPr>
        <w:pageBreakBefore/>
      </w:pPr>
      <w:r>
        <w:t xml:space="preserve"/>
      </w:r>
    </w:p>
    <w:p>
      <w:pPr>
        <w:pStyle w:val="Heading1"/>
      </w:pPr>
      <w:r>
        <w:t xml:space="preserve">APPENDIX B: Glossary</w:t>
      </w:r>
    </w:p>
    <w:p>
      <w:pPr>
        <w:pStyle w:val="Heading2"/>
      </w:pPr>
      <w:r>
        <w:t xml:space="preserve">Compositional Data Analysis</w:t>
      </w:r>
    </w:p>
    <w:p>
      <w:pPr>
        <w:spacing w:after="160" w:before="80" w:line="240"/>
      </w:pPr>
      <w:r>
        <w:rPr>
          <w:b/>
          <w:bCs/>
        </w:rPr>
        <w:t xml:space="preserve">Centred Log-Ratio (CLR):</w:t>
      </w:r>
      <w:r>
        <w:t xml:space="preserve"> Transform mapping parts to orthogonal space via log-ratio to geometric mean. Removes simplex constraint, enabling standard correlation analysis.</w:t>
      </w:r>
    </w:p>
    <w:p>
      <w:pPr>
        <w:spacing w:after="160" w:before="80" w:line="240"/>
      </w:pPr>
      <w:r>
        <w:rPr>
          <w:b/>
          <w:bCs/>
        </w:rPr>
        <w:t xml:space="preserve">Composition:</w:t>
      </w:r>
      <w:r>
        <w:t xml:space="preserve"> Vector of positive real numbers summing to a constant (typically 1); lies on the D−1-dimensional simplex.</w:t>
      </w:r>
    </w:p>
    <w:p>
      <w:pPr>
        <w:spacing w:after="160" w:before="80" w:line="240"/>
      </w:pPr>
      <w:r>
        <w:rPr>
          <w:b/>
          <w:bCs/>
        </w:rPr>
        <w:t xml:space="preserve">Simplex:</w:t>
      </w:r>
      <w:r>
        <w:t xml:space="preserve"> The constrained space {(x₁,...,x_D) : x_i ≥ 0, Σx_i = 1}; geometry differs fundamentally from Euclidean space.</w:t>
      </w:r>
    </w:p>
    <w:p>
      <w:pPr>
        <w:pStyle w:val="Heading2"/>
      </w:pPr>
      <w:r>
        <w:t xml:space="preserve">Quantum Information Concepts</w:t>
      </w:r>
    </w:p>
    <w:p>
      <w:pPr>
        <w:spacing w:after="160" w:before="80" w:line="240"/>
      </w:pPr>
      <w:r>
        <w:rPr>
          <w:b/>
          <w:bCs/>
        </w:rPr>
        <w:t xml:space="preserve">Density Matrix (ρ):</w:t>
      </w:r>
      <w:r>
        <w:t xml:space="preserve"> Hermitian, positive-semidefinite operator on Hilbert space; generalizes pure states to mixed states.</w:t>
      </w:r>
    </w:p>
    <w:p>
      <w:pPr>
        <w:spacing w:after="160" w:before="80" w:line="240"/>
      </w:pPr>
      <w:r>
        <w:rPr>
          <w:b/>
          <w:bCs/>
        </w:rPr>
        <w:t xml:space="preserve">Entanglement:</w:t>
      </w:r>
      <w:r>
        <w:t xml:space="preserve"> Non-classical correlation where the joint state cannot be factored as a product of subsystem states.</w:t>
      </w:r>
    </w:p>
    <w:p>
      <w:pPr>
        <w:spacing w:after="160" w:before="80" w:line="240"/>
      </w:pPr>
      <w:r>
        <w:rPr>
          <w:b/>
          <w:bCs/>
        </w:rPr>
        <w:t xml:space="preserve">Fidelity (F):</w:t>
      </w:r>
      <w:r>
        <w:t xml:space="preserve"> Measure of overlap between two density matrices, ranging from 0 (orthogonal) to 1 (identical).</w:t>
      </w:r>
    </w:p>
    <w:p>
      <w:pPr>
        <w:spacing w:after="160" w:before="80" w:line="240"/>
      </w:pPr>
      <w:r>
        <w:rPr>
          <w:b/>
          <w:bCs/>
        </w:rPr>
        <w:t xml:space="preserve">Leggett-Garg Inequality:</w:t>
      </w:r>
      <w:r>
        <w:t xml:space="preserve"> Classical bound K₃ ≤ 1; violation indicates non-classical temporal correlations.</w:t>
      </w:r>
    </w:p>
    <w:p>
      <w:pPr>
        <w:spacing w:after="160" w:before="80" w:line="240"/>
      </w:pPr>
      <w:r>
        <w:rPr>
          <w:b/>
          <w:bCs/>
        </w:rPr>
        <w:t xml:space="preserve">Schmidt Decomposition:</w:t>
      </w:r>
      <w:r>
        <w:t xml:space="preserve"> Singular value decomposition of a bipartite state, revealing entanglement structure across partition.</w:t>
      </w:r>
    </w:p>
    <w:p>
      <w:pPr>
        <w:spacing w:after="160" w:before="80" w:line="240"/>
      </w:pPr>
      <w:r>
        <w:rPr>
          <w:b/>
          <w:bCs/>
        </w:rPr>
        <w:t xml:space="preserve">Schmidt Rank:</w:t>
      </w:r>
      <w:r>
        <w:t xml:space="preserve"> Number of non-zero singular values; indicates effective number of entanglement channels.</w:t>
      </w:r>
    </w:p>
    <w:p>
      <w:pPr>
        <w:spacing w:after="160" w:before="80" w:line="240"/>
      </w:pPr>
      <w:r>
        <w:rPr>
          <w:b/>
          <w:bCs/>
        </w:rPr>
        <w:t xml:space="preserve">Von Neumann Entropy (S(ρ)):</w:t>
      </w:r>
      <w:r>
        <w:t xml:space="preserve"> Measure of mixed-state purity: S = −Tr(ρ ln ρ); zero for pure states, maximum for maximally mixed.</w:t>
      </w:r>
    </w:p>
    <w:p>
      <w:pPr>
        <w:pStyle w:val="Heading2"/>
      </w:pPr>
      <w:r>
        <w:t xml:space="preserve">Energy System Terminology</w:t>
      </w:r>
    </w:p>
    <w:p>
      <w:pPr>
        <w:spacing w:after="160" w:before="80" w:line="240"/>
      </w:pPr>
      <w:r>
        <w:rPr>
          <w:b/>
          <w:bCs/>
        </w:rPr>
        <w:t xml:space="preserve">Bridge Carriers:</w:t>
      </w:r>
      <w:r>
        <w:t xml:space="preserve"> Nuclear, Hydro, Biomass; intermediate in the transition from fossil to fully renewable energy.</w:t>
      </w:r>
    </w:p>
    <w:p>
      <w:pPr>
        <w:spacing w:after="160" w:before="80" w:line="240"/>
      </w:pPr>
      <w:r>
        <w:rPr>
          <w:b/>
          <w:bCs/>
        </w:rPr>
        <w:t xml:space="preserve">Fossil Subsystem:</w:t>
      </w:r>
      <w:r>
        <w:t xml:space="preserve"> Coal, Gas, Oil; primary historical energy sources.</w:t>
      </w:r>
    </w:p>
    <w:p>
      <w:pPr>
        <w:spacing w:after="160" w:before="80" w:line="240"/>
      </w:pPr>
      <w:r>
        <w:rPr>
          <w:b/>
          <w:bCs/>
        </w:rPr>
        <w:t xml:space="preserve">NGFS Phase 4:</w:t>
      </w:r>
      <w:r>
        <w:t xml:space="preserve"> Network for Greening the Financial System scenarios; integrated assessment model results.</w:t>
      </w:r>
    </w:p>
    <w:p>
      <w:pPr>
        <w:spacing w:after="160" w:before="80" w:line="240"/>
      </w:pPr>
      <w:r>
        <w:rPr>
          <w:b/>
          <w:bCs/>
        </w:rPr>
        <w:t xml:space="preserve">Renewable Subsystem:</w:t>
      </w:r>
      <w:r>
        <w:t xml:space="preserve"> Solar, Wind, Geothermal; zero-carbon energy 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t xml:space="preserve">Rogue Wave Audio · CoDaWork 2026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center"/>
    </w:pPr>
    <w:r>
      <w:t xml:space="preserve">Book 2: HUF-QTM — Quantum Toolkit for Compositional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984"/>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A7C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2026-04-13T11:38:43.312Z</dcterms:created>
  <dcterms:modified xsi:type="dcterms:W3CDTF">2026-04-13T11:38:43.312Z</dcterms:modified>
</cp:coreProperties>
</file>

<file path=docProps/custom.xml><?xml version="1.0" encoding="utf-8"?>
<Properties xmlns="http://schemas.openxmlformats.org/officeDocument/2006/custom-properties" xmlns:vt="http://schemas.openxmlformats.org/officeDocument/2006/docPropsVTypes"/>
</file>