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r>
        <w:t xml:space="preserve"/>
      </w:r>
    </w:p>
    <w:p>
      <w:pPr>
        <w:spacing w:after="80"/>
        <w:jc w:val="center"/>
      </w:pPr>
      <w:r>
        <w:rPr>
          <w:rFonts w:ascii="Arial" w:cs="Arial" w:eastAsia="Arial" w:hAnsi="Arial"/>
          <w:b/>
          <w:bCs/>
          <w:color w:val="1B3A5C"/>
          <w:sz w:val="48"/>
          <w:szCs w:val="48"/>
        </w:rPr>
        <w:t xml:space="preserve">HUF-QTM:</w:t>
      </w:r>
    </w:p>
    <w:p>
      <w:pPr>
        <w:spacing w:after="240"/>
        <w:jc w:val="center"/>
      </w:pPr>
      <w:r>
        <w:rPr>
          <w:rFonts w:ascii="Arial" w:cs="Arial" w:eastAsia="Arial" w:hAnsi="Arial"/>
          <w:b/>
          <w:bCs/>
          <w:color w:val="1B3A5C"/>
          <w:sz w:val="40"/>
          <w:szCs w:val="40"/>
        </w:rPr>
        <w:t xml:space="preserve">Quantum Toolkit for Compositional Data</w:t>
      </w:r>
    </w:p>
    <w:p>
      <w:pPr>
        <w:spacing w:after="720"/>
        <w:jc w:val="center"/>
      </w:pPr>
      <w:r>
        <w:rPr>
          <w:rFonts w:ascii="Arial" w:cs="Arial" w:eastAsia="Arial" w:hAnsi="Arial"/>
          <w:color w:val="1B3A5C"/>
          <w:sz w:val="32"/>
          <w:szCs w:val="32"/>
        </w:rPr>
        <w:t xml:space="preserve">Empirical Results from NGFS Phase 4</w:t>
      </w:r>
    </w:p>
    <w:p>
      <w:pPr>
        <w:spacing w:after="60"/>
        <w:jc w:val="center"/>
      </w:pPr>
      <w:r>
        <w:rPr>
          <w:rFonts w:ascii="Arial" w:cs="Arial" w:eastAsia="Arial" w:hAnsi="Arial"/>
          <w:sz w:val="24"/>
          <w:szCs w:val="24"/>
        </w:rPr>
        <w:t xml:space="preserve">Peter Higgins</w:t>
      </w:r>
    </w:p>
    <w:p>
      <w:pPr>
        <w:spacing w:after="60"/>
        <w:jc w:val="center"/>
      </w:pPr>
      <w:r>
        <w:rPr>
          <w:rFonts w:ascii="Arial" w:cs="Arial" w:eastAsia="Arial" w:hAnsi="Arial"/>
          <w:sz w:val="24"/>
          <w:szCs w:val="24"/>
        </w:rPr>
        <w:t xml:space="preserve">Rogue Wave Audio</w:t>
      </w:r>
    </w:p>
    <w:p>
      <w:pPr>
        <w:spacing w:after="720"/>
        <w:jc w:val="center"/>
      </w:pPr>
      <w:r>
        <w:rPr>
          <w:rFonts w:ascii="Arial" w:cs="Arial" w:eastAsia="Arial" w:hAnsi="Arial"/>
          <w:sz w:val="24"/>
          <w:szCs w:val="24"/>
        </w:rPr>
        <w:t xml:space="preserve">April 2026</w:t>
      </w:r>
    </w:p>
    <w:p>
      <w:pPr>
        <w:jc w:val="center"/>
      </w:pPr>
      <w:r>
        <w:rPr>
          <w:rFonts w:ascii="Arial" w:cs="Arial" w:eastAsia="Arial" w:hAnsi="Arial"/>
          <w:sz w:val="24"/>
          <w:szCs w:val="24"/>
        </w:rPr>
        <w:t xml:space="preserve">Five quantum information tools applied to compositional energy data. No quantum hardware required.</w:t>
      </w:r>
    </w:p>
    <w:p>
      <w:r>
        <w:br w:type="page"/>
      </w:r>
    </w:p>
    <w:p>
      <w:pPr>
        <w:pStyle w:val="Heading1"/>
        <w:spacing w:after="120" w:before="240"/>
      </w:pPr>
      <w:r>
        <w:rPr>
          <w:rFonts w:ascii="Arial" w:cs="Arial" w:eastAsia="Arial" w:hAnsi="Arial"/>
          <w:b/>
          <w:bCs/>
          <w:color w:val="1B3A5C"/>
          <w:sz w:val="32"/>
          <w:szCs w:val="32"/>
        </w:rPr>
        <w:t xml:space="preserve">Executive Summary</w:t>
      </w:r>
    </w:p>
    <w:p>
      <w:pPr>
        <w:spacing w:after="120" w:line="360"/>
      </w:pPr>
      <w:r>
        <w:rPr>
          <w:rFonts w:ascii="Arial" w:cs="Arial" w:eastAsia="Arial" w:hAnsi="Arial"/>
          <w:sz w:val="22"/>
          <w:szCs w:val="22"/>
        </w:rPr>
        <w:t xml:space="preserve">This study applies five quantum information tools to compositional energy data from the NGFS Phase 4 database, comprising 35 scenarios across 3 Integrated Assessment Models (IAMs: GCAM, MESSAGEix, REMIND) and 9 energy carriers (Coal, Natural Gas, Oil, Nuclear, Hydroelectric, Biomass, Solar, Wind, Geothermal).</w:t>
      </w:r>
    </w:p>
    <w:p>
      <w:pPr>
        <w:spacing w:after="120" w:line="360"/>
      </w:pPr>
      <w:r>
        <w:rPr>
          <w:rFonts w:ascii="Arial" w:cs="Arial" w:eastAsia="Arial" w:hAnsi="Arial"/>
          <w:sz w:val="22"/>
          <w:szCs w:val="22"/>
        </w:rPr>
        <w:t xml:space="preserve">Key findings:</w:t>
      </w:r>
    </w:p>
    <w:p>
      <w:pPr>
        <w:pStyle w:val="ListParagraph"/>
        <w:numPr>
          <w:ilvl w:val="0"/>
          <w:numId w:val="2"/>
        </w:numPr>
        <w:spacing w:after="100"/>
      </w:pPr>
      <w:r>
        <w:rPr>
          <w:rFonts w:ascii="Arial" w:cs="Arial" w:eastAsia="Arial" w:hAnsi="Arial"/>
        </w:rPr>
        <w:t xml:space="preserve">The 9-part energy composition operates on a single effective degree of freedom with entanglement entropy S_vN ≈ 0.18 averaged across IAMs, indicating that energy transitions are fundamentally one-dimensional.</w:t>
      </w:r>
    </w:p>
    <w:p>
      <w:pPr>
        <w:pStyle w:val="ListParagraph"/>
        <w:numPr>
          <w:ilvl w:val="0"/>
          <w:numId w:val="2"/>
        </w:numPr>
        <w:spacing w:after="100"/>
      </w:pPr>
      <w:r>
        <w:rPr>
          <w:rFonts w:ascii="Arial" w:cs="Arial" w:eastAsia="Arial" w:hAnsi="Arial"/>
        </w:rPr>
        <w:t xml:space="preserve">28 of 35 scenarios violate the Leggett–Garg inequality, demonstrating temporal entanglement that reflects infrastructure commitment; violations persist longest under net-zero pathways.</w:t>
      </w:r>
    </w:p>
    <w:p>
      <w:pPr>
        <w:pStyle w:val="ListParagraph"/>
        <w:numPr>
          <w:ilvl w:val="0"/>
          <w:numId w:val="2"/>
        </w:numPr>
        <w:spacing w:after="100"/>
      </w:pPr>
      <w:r>
        <w:rPr>
          <w:rFonts w:ascii="Arial" w:cs="Arial" w:eastAsia="Arial" w:hAnsi="Arial"/>
        </w:rPr>
        <w:t xml:space="preserve">All 35 scenarios exhibit Schmidt rank 1, revealing a single dominant transfer channel from fossil to clean energy, with participation ratio = 1.00.</w:t>
      </w:r>
    </w:p>
    <w:p>
      <w:pPr>
        <w:pStyle w:val="ListParagraph"/>
        <w:numPr>
          <w:ilvl w:val="0"/>
          <w:numId w:val="2"/>
        </w:numPr>
        <w:spacing w:after="100"/>
      </w:pPr>
      <w:r>
        <w:rPr>
          <w:rFonts w:ascii="Arial" w:cs="Arial" w:eastAsia="Arial" w:hAnsi="Arial"/>
        </w:rPr>
        <w:t xml:space="preserve">Bridge carriers (Nuclear, Hydro, Biomass) decouple under Net Zero transitions, showing genuine tripartite independence incompatible with two-group fossil–renewable narratives.</w:t>
      </w:r>
    </w:p>
    <w:p>
      <w:pPr>
        <w:pStyle w:val="ListParagraph"/>
        <w:numPr>
          <w:ilvl w:val="0"/>
          <w:numId w:val="2"/>
        </w:numPr>
        <w:spacing w:after="100"/>
      </w:pPr>
      <w:r>
        <w:rPr>
          <w:rFonts w:ascii="Arial" w:cs="Arial" w:eastAsia="Arial" w:hAnsi="Arial"/>
        </w:rPr>
        <w:t xml:space="preserve">Cross-model fidelity under Net Zero scenarios is 0.988, indicating alignment; under Fragmented World, fidelity drops to 0.898, and most divergent pairs reach 0.777.</w:t>
      </w:r>
    </w:p>
    <w:p>
      <w:pPr>
        <w:pStyle w:val="ListParagraph"/>
        <w:numPr>
          <w:ilvl w:val="0"/>
          <w:numId w:val="2"/>
        </w:numPr>
        <w:spacing w:after="240"/>
      </w:pPr>
      <w:r>
        <w:rPr>
          <w:rFonts w:ascii="Arial" w:cs="Arial" w:eastAsia="Arial" w:hAnsi="Arial"/>
        </w:rPr>
        <w:t xml:space="preserve">Bell violation (S = 2.20) on MESSAGEix Net Zero demonstrates non-classical correlation structure in state representation.</w:t>
      </w:r>
    </w:p>
    <w:p>
      <w:r>
        <w:br w:type="page"/>
      </w:r>
    </w:p>
    <w:p>
      <w:pPr>
        <w:pStyle w:val="Heading1"/>
        <w:spacing w:after="120" w:before="240"/>
      </w:pPr>
      <w:r>
        <w:rPr>
          <w:rFonts w:ascii="Arial" w:cs="Arial" w:eastAsia="Arial" w:hAnsi="Arial"/>
          <w:b/>
          <w:bCs/>
          <w:color w:val="1B3A5C"/>
          <w:sz w:val="32"/>
          <w:szCs w:val="32"/>
        </w:rPr>
        <w:t xml:space="preserve">Section 1: Tool 1 — Entanglement Entropy</w:t>
      </w:r>
    </w:p>
    <w:p>
      <w:pPr>
        <w:pStyle w:val="Heading2"/>
        <w:spacing w:after="100" w:before="180"/>
      </w:pPr>
      <w:r>
        <w:rPr>
          <w:rFonts w:ascii="Arial" w:cs="Arial" w:eastAsia="Arial" w:hAnsi="Arial"/>
          <w:b/>
          <w:bCs/>
          <w:color w:val="1B3A5C"/>
          <w:sz w:val="28"/>
          <w:szCs w:val="28"/>
        </w:rPr>
        <w:t xml:space="preserve">Method</w:t>
      </w:r>
    </w:p>
    <w:p>
      <w:pPr>
        <w:spacing w:after="120" w:line="360"/>
      </w:pPr>
      <w:r>
        <w:rPr>
          <w:rFonts w:ascii="Arial" w:cs="Arial" w:eastAsia="Arial" w:hAnsi="Arial"/>
          <w:sz w:val="22"/>
          <w:szCs w:val="22"/>
        </w:rPr>
        <w:t xml:space="preserve">Entanglement entropy quantifies the effective dimensionality of a composition by computing the von Neumann entropy of the centered log-ratio (CLR) correlation density matrix:</w:t>
      </w:r>
    </w:p>
    <w:p>
      <w:pPr>
        <w:spacing w:after="120" w:line="360"/>
      </w:pPr>
      <w:r>
        <w:rPr>
          <w:rFonts w:ascii="Arial" w:cs="Arial" w:eastAsia="Arial" w:hAnsi="Arial"/>
          <w:sz w:val="22"/>
          <w:szCs w:val="22"/>
        </w:rPr>
        <w:t xml:space="preserve">S(\u03c1) = -Tr(\u03c1 ln \u03c1)</w:t>
      </w:r>
    </w:p>
    <w:p>
      <w:pPr>
        <w:spacing w:after="120" w:line="360"/>
      </w:pPr>
      <w:r>
        <w:rPr>
          <w:rFonts w:ascii="Arial" w:cs="Arial" w:eastAsia="Arial" w:hAnsi="Arial"/>
          <w:sz w:val="22"/>
          <w:szCs w:val="22"/>
        </w:rPr>
        <w:t xml:space="preserve">For a 9-part composition, maximum entropy is S_max = ln(9) \u2248 2.197. Scaling by S_max yields a normalized measure S/S_max \u2208 [0,1], with values near 0 indicating effective low-dimensional structure.</w:t>
      </w:r>
    </w:p>
    <w:p>
      <w:pPr>
        <w:pStyle w:val="Heading2"/>
        <w:spacing w:after="100" w:before="180"/>
      </w:pPr>
      <w:r>
        <w:rPr>
          <w:rFonts w:ascii="Arial" w:cs="Arial" w:eastAsia="Arial" w:hAnsi="Arial"/>
          <w:b/>
          <w:bCs/>
          <w:color w:val="1B3A5C"/>
          <w:sz w:val="28"/>
          <w:szCs w:val="28"/>
        </w:rPr>
        <w:t xml:space="preserve">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000"/>
        <w:gridCol w:w="900"/>
        <w:gridCol w:w="900"/>
        <w:gridCol w:w="1660"/>
      </w:tblGrid>
      <w:tr>
        <w:tc>
          <w:tcPr>
            <w:tcW w:type="dxa" w:w="14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Model</w:t>
            </w:r>
          </w:p>
        </w:tc>
        <w:tc>
          <w:tcPr>
            <w:tcW w:type="dxa" w:w="16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Scenario</w:t>
            </w:r>
          </w:p>
        </w:tc>
        <w:tc>
          <w:tcPr>
            <w:tcW w:type="dxa" w:w="9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S_vN</w:t>
            </w:r>
          </w:p>
        </w:tc>
        <w:tc>
          <w:tcPr>
            <w:tcW w:type="dxa" w:w="1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S/S_max</w:t>
            </w:r>
          </w:p>
        </w:tc>
        <w:tc>
          <w:tcPr>
            <w:tcW w:type="dxa" w:w="9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n_eff</w:t>
            </w:r>
          </w:p>
        </w:tc>
        <w:tc>
          <w:tcPr>
            <w:tcW w:type="dxa" w:w="9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I(F:C)</w:t>
            </w:r>
          </w:p>
        </w:tc>
        <w:tc>
          <w:tcPr>
            <w:tcW w:type="dxa" w:w="16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Interpretation</w:t>
            </w:r>
          </w:p>
        </w:tc>
      </w:tr>
      <w:tr>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0.183</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0.083</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1.20</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0.055</w:t>
            </w:r>
          </w:p>
        </w:tc>
        <w:tc>
          <w:tcPr>
            <w:tcW w:type="dxa" w:w="16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1D fossil–clean</w:t>
            </w:r>
          </w:p>
        </w:tc>
      </w:tr>
      <w:tr>
        <w:tc>
          <w:tcPr>
            <w:tcW w:type="dxa" w:w="14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MESSAGEix</w:t>
            </w:r>
          </w:p>
        </w:tc>
        <w:tc>
          <w:tcPr>
            <w:tcW w:type="dxa" w:w="16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0.176</w:t>
            </w:r>
          </w:p>
        </w:tc>
        <w:tc>
          <w:tcPr>
            <w:tcW w:type="dxa" w:w="10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0.080</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1.18</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0.052</w:t>
            </w:r>
          </w:p>
        </w:tc>
        <w:tc>
          <w:tcPr>
            <w:tcW w:type="dxa" w:w="16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1D fossil–clean</w:t>
            </w:r>
          </w:p>
        </w:tc>
      </w:tr>
      <w:tr>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REMIND</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0.195</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0.089</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1.25</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0.068</w:t>
            </w:r>
          </w:p>
        </w:tc>
        <w:tc>
          <w:tcPr>
            <w:tcW w:type="dxa" w:w="16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1D fossil–clean</w:t>
            </w:r>
          </w:p>
        </w:tc>
      </w:tr>
      <w:tr>
        <w:tc>
          <w:tcPr>
            <w:tcW w:type="dxa" w:w="14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16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Current Policies</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0.089</w:t>
            </w:r>
          </w:p>
        </w:tc>
        <w:tc>
          <w:tcPr>
            <w:tcW w:type="dxa" w:w="10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0.040</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1.08</w:t>
            </w:r>
          </w:p>
        </w:tc>
        <w:tc>
          <w:tcPr>
            <w:tcW w:type="dxa" w:w="9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0.018</w:t>
            </w:r>
          </w:p>
        </w:tc>
        <w:tc>
          <w:tcPr>
            <w:tcW w:type="dxa" w:w="16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Near-static</w:t>
            </w:r>
          </w:p>
        </w:tc>
      </w:tr>
      <w:tr>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REMIND</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Below 2\u00b0C</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0.212</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0.096</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1.32</w:t>
            </w:r>
          </w:p>
        </w:tc>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0.081</w:t>
            </w:r>
          </w:p>
        </w:tc>
        <w:tc>
          <w:tcPr>
            <w:tcW w:type="dxa" w:w="16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1D fossil–clean</w:t>
            </w:r>
          </w:p>
        </w:tc>
      </w:tr>
    </w:tbl>
    <w:p>
      <w:pPr>
        <w:spacing w:after="120" w:line="360"/>
      </w:pPr>
      <w:r>
        <w:rPr>
          <w:rFonts w:ascii="Arial" w:cs="Arial" w:eastAsia="Arial" w:hAnsi="Arial"/>
          <w:sz w:val="22"/>
          <w:szCs w:val="22"/>
        </w:rPr>
        <w:t xml:space="preserve"/>
      </w:r>
    </w:p>
    <w:p>
      <w:pPr>
        <w:pStyle w:val="Heading2"/>
        <w:spacing w:after="100" w:before="180"/>
      </w:pPr>
      <w:r>
        <w:rPr>
          <w:rFonts w:ascii="Arial" w:cs="Arial" w:eastAsia="Arial" w:hAnsi="Arial"/>
          <w:b/>
          <w:bCs/>
          <w:color w:val="1B3A5C"/>
          <w:sz w:val="28"/>
          <w:szCs w:val="28"/>
        </w:rPr>
        <w:t xml:space="preserve">Spectral Interpretation</w:t>
      </w:r>
    </w:p>
    <w:p>
      <w:pPr>
        <w:spacing w:after="120" w:line="360"/>
      </w:pPr>
      <w:r>
        <w:rPr>
          <w:rFonts w:ascii="Arial" w:cs="Arial" w:eastAsia="Arial" w:hAnsi="Arial"/>
          <w:sz w:val="22"/>
          <w:szCs w:val="22"/>
        </w:rPr>
        <w:t xml:space="preserve">The eigenvalue spectrum of the CLR correlation matrix for GCAM Net Zero is dominated by a single eigenvalue \u03bb_1 = 0.9606, accounting for 96% of trace. The fossil subsystem (Coal, Gas, Oil) shows S_fossil = 0.007 (max 1.099), indicating near-perfect correlation—these three energy sources operate as a single coupled unit. The clean subsystem (Solar, Wind, Geo, Nuclear, Hydro, Biomass) shows S_clean = 0.232 (max 1.792), revealing more internal structure but still concentrated.</w:t>
      </w:r>
    </w:p>
    <w:p>
      <w:pPr>
        <w:spacing w:after="120" w:line="360"/>
      </w:pPr>
      <w:r>
        <w:rPr>
          <w:rFonts w:ascii="Arial" w:cs="Arial" w:eastAsia="Arial" w:hAnsi="Arial"/>
          <w:sz w:val="22"/>
          <w:szCs w:val="22"/>
        </w:rPr>
        <w:t xml:space="preserve">Interpretation: The energy transition is a 1D manifold. Nine energy carriers collapse to a single degree of freedom: the position along the fossil\u2014clean axis. Substitution patterns, technology diffusion, and infrastructure dynamics are constrained to this low-dimensional path.</w:t>
      </w:r>
    </w:p>
    <w:p>
      <w:r>
        <w:br w:type="page"/>
      </w:r>
    </w:p>
    <w:p>
      <w:pPr>
        <w:pStyle w:val="Heading1"/>
        <w:spacing w:after="120" w:before="240"/>
      </w:pPr>
      <w:r>
        <w:rPr>
          <w:rFonts w:ascii="Arial" w:cs="Arial" w:eastAsia="Arial" w:hAnsi="Arial"/>
          <w:b/>
          <w:bCs/>
          <w:color w:val="1B3A5C"/>
          <w:sz w:val="32"/>
          <w:szCs w:val="32"/>
        </w:rPr>
        <w:t xml:space="preserve">Section 2: Tool 2 — Leggett–Garg Inequality</w:t>
      </w:r>
    </w:p>
    <w:p>
      <w:pPr>
        <w:pStyle w:val="Heading2"/>
        <w:spacing w:after="100" w:before="180"/>
      </w:pPr>
      <w:r>
        <w:rPr>
          <w:rFonts w:ascii="Arial" w:cs="Arial" w:eastAsia="Arial" w:hAnsi="Arial"/>
          <w:b/>
          <w:bCs/>
          <w:color w:val="1B3A5C"/>
          <w:sz w:val="28"/>
          <w:szCs w:val="28"/>
        </w:rPr>
        <w:t xml:space="preserve">Method</w:t>
      </w:r>
    </w:p>
    <w:p>
      <w:pPr>
        <w:spacing w:after="120" w:line="360"/>
      </w:pPr>
      <w:r>
        <w:rPr>
          <w:rFonts w:ascii="Arial" w:cs="Arial" w:eastAsia="Arial" w:hAnsi="Arial"/>
          <w:sz w:val="22"/>
          <w:szCs w:val="22"/>
        </w:rPr>
        <w:t xml:space="preserve">The Leggett–Garg inequality tests for temporal entanglement by measuring the correlation of a dichotomic observable at three time points. Using the fossil/clean balance as the observable, the correlation C_ij between time i and j is computed, and:</w:t>
      </w:r>
    </w:p>
    <w:p>
      <w:pPr>
        <w:spacing w:after="120" w:line="360"/>
      </w:pPr>
      <w:r>
        <w:rPr>
          <w:rFonts w:ascii="Arial" w:cs="Arial" w:eastAsia="Arial" w:hAnsi="Arial"/>
          <w:sz w:val="22"/>
          <w:szCs w:val="22"/>
        </w:rPr>
        <w:t xml:space="preserve">K_3 = C_12 + C_23 - C_13 \u2264 1   (classical bound)</w:t>
      </w:r>
    </w:p>
    <w:p>
      <w:pPr>
        <w:spacing w:after="120" w:line="360"/>
      </w:pPr>
      <w:r>
        <w:rPr>
          <w:rFonts w:ascii="Arial" w:cs="Arial" w:eastAsia="Arial" w:hAnsi="Arial"/>
          <w:sz w:val="22"/>
          <w:szCs w:val="22"/>
        </w:rPr>
        <w:t xml:space="preserve">Violations (K_3 &gt; 1) indicate non-classical temporal structure, reflecting infrastructure commitment and hysteresis.</w:t>
      </w:r>
    </w:p>
    <w:p>
      <w:pPr>
        <w:pStyle w:val="Heading2"/>
        <w:spacing w:after="100" w:before="180"/>
      </w:pPr>
      <w:r>
        <w:rPr>
          <w:rFonts w:ascii="Arial" w:cs="Arial" w:eastAsia="Arial" w:hAnsi="Arial"/>
          <w:b/>
          <w:bCs/>
          <w:color w:val="1B3A5C"/>
          <w:sz w:val="28"/>
          <w:szCs w:val="28"/>
        </w:rPr>
        <w:t xml:space="preserve">Key Results</w:t>
      </w:r>
    </w:p>
    <w:p>
      <w:pPr>
        <w:spacing w:after="120" w:line="360"/>
      </w:pPr>
      <w:r>
        <w:rPr>
          <w:rFonts w:ascii="Arial" w:cs="Arial" w:eastAsia="Arial" w:hAnsi="Arial"/>
          <w:sz w:val="22"/>
          <w:szCs w:val="22"/>
        </w:rPr>
        <w:t xml:space="preserve">28 of 35 scenarios violate the Leggett–Garg inequality. Violations cluster strongly in Net Zero pathways, indicating that aggressive decarbonization locks in temporal correlations. Current Policies scenarios never violate, suggesting minimal infrastructure memory under slow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100"/>
        <w:gridCol w:w="3060"/>
      </w:tblGrid>
      <w:tr>
        <w:tc>
          <w:tcPr>
            <w:tcW w:type="dxa" w:w="21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Model</w:t>
            </w:r>
          </w:p>
        </w:tc>
        <w:tc>
          <w:tcPr>
            <w:tcW w:type="dxa" w:w="21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Scenario</w:t>
            </w:r>
          </w:p>
        </w:tc>
        <w:tc>
          <w:tcPr>
            <w:tcW w:type="dxa" w:w="21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K_3</w:t>
            </w:r>
          </w:p>
        </w:tc>
        <w:tc>
          <w:tcPr>
            <w:tcW w:type="dxa" w:w="30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Crossing Time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REMIND</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1.34</w:t>
            </w:r>
          </w:p>
        </w:tc>
        <w:tc>
          <w:tcPr>
            <w:tcW w:type="dxa" w:w="30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2050</w:t>
            </w:r>
          </w:p>
        </w:tc>
      </w:tr>
      <w:tr>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1.18</w:t>
            </w:r>
          </w:p>
        </w:tc>
        <w:tc>
          <w:tcPr>
            <w:tcW w:type="dxa" w:w="30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2065</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MESSAGEix</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1.08</w:t>
            </w:r>
          </w:p>
        </w:tc>
        <w:tc>
          <w:tcPr>
            <w:tcW w:type="dxa" w:w="30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2075</w:t>
            </w:r>
          </w:p>
        </w:tc>
      </w:tr>
      <w:tr>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Current Policies</w:t>
            </w:r>
          </w:p>
        </w:tc>
        <w:tc>
          <w:tcPr>
            <w:tcW w:type="dxa" w:w="21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0.94</w:t>
            </w:r>
          </w:p>
        </w:tc>
        <w:tc>
          <w:tcPr>
            <w:tcW w:type="dxa" w:w="30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Never</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REMIND</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Below 2\u00b0C</w:t>
            </w:r>
          </w:p>
        </w:tc>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1.41</w:t>
            </w:r>
          </w:p>
        </w:tc>
        <w:tc>
          <w:tcPr>
            <w:tcW w:type="dxa" w:w="30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2045</w:t>
            </w:r>
          </w:p>
        </w:tc>
      </w:tr>
    </w:tbl>
    <w:p>
      <w:pPr>
        <w:spacing w:after="120" w:line="360"/>
      </w:pPr>
      <w:r>
        <w:rPr>
          <w:rFonts w:ascii="Arial" w:cs="Arial" w:eastAsia="Arial" w:hAnsi="Arial"/>
          <w:sz w:val="22"/>
          <w:szCs w:val="22"/>
        </w:rPr>
        <w:t xml:space="preserve"/>
      </w:r>
    </w:p>
    <w:p>
      <w:pPr>
        <w:spacing w:after="120" w:line="360"/>
      </w:pPr>
      <w:r>
        <w:rPr>
          <w:rFonts w:ascii="Arial" w:cs="Arial" w:eastAsia="Arial" w:hAnsi="Arial"/>
          <w:sz w:val="22"/>
          <w:szCs w:val="22"/>
        </w:rPr>
        <w:t xml:space="preserve">Interpretation: Temporal entanglement reflects infrastructure lock-in. Once capital investment in clean technologies deviates the energy composition, the system exhibits memory (K_3 &gt; 1). Reversal requires structural intervention, not merely policy reversal. The earlier the crossing time, the faster the commitment locks in.</w:t>
      </w:r>
    </w:p>
    <w:p>
      <w:r>
        <w:br w:type="page"/>
      </w:r>
    </w:p>
    <w:p>
      <w:pPr>
        <w:pStyle w:val="Heading1"/>
        <w:spacing w:after="120" w:before="240"/>
      </w:pPr>
      <w:r>
        <w:rPr>
          <w:rFonts w:ascii="Arial" w:cs="Arial" w:eastAsia="Arial" w:hAnsi="Arial"/>
          <w:b/>
          <w:bCs/>
          <w:color w:val="1B3A5C"/>
          <w:sz w:val="32"/>
          <w:szCs w:val="32"/>
        </w:rPr>
        <w:t xml:space="preserve">Section 3: Tool 3 — Schmidt Decomposition</w:t>
      </w:r>
    </w:p>
    <w:p>
      <w:pPr>
        <w:pStyle w:val="Heading2"/>
        <w:spacing w:after="100" w:before="180"/>
      </w:pPr>
      <w:r>
        <w:rPr>
          <w:rFonts w:ascii="Arial" w:cs="Arial" w:eastAsia="Arial" w:hAnsi="Arial"/>
          <w:b/>
          <w:bCs/>
          <w:color w:val="1B3A5C"/>
          <w:sz w:val="28"/>
          <w:szCs w:val="28"/>
        </w:rPr>
        <w:t xml:space="preserve">Method</w:t>
      </w:r>
    </w:p>
    <w:p>
      <w:pPr>
        <w:spacing w:after="120" w:line="360"/>
      </w:pPr>
      <w:r>
        <w:rPr>
          <w:rFonts w:ascii="Arial" w:cs="Arial" w:eastAsia="Arial" w:hAnsi="Arial"/>
          <w:sz w:val="22"/>
          <w:szCs w:val="22"/>
        </w:rPr>
        <w:t xml:space="preserve">Schmidt decomposition factors the 9-part composition as a sum of orthogonal mode pairs via SVD of the cross-correlation matrix between fossil CLR and clean CLR. The Schmidt rank r_s equals the number of non-zero singular values; participation ratio \u03c0 = (\u03a3\u03bb_i^2)^{-1} quantifies how many modes carry significant weight.</w:t>
      </w:r>
    </w:p>
    <w:p>
      <w:pPr>
        <w:pStyle w:val="Heading2"/>
        <w:spacing w:after="100" w:before="180"/>
      </w:pPr>
      <w:r>
        <w:rPr>
          <w:rFonts w:ascii="Arial" w:cs="Arial" w:eastAsia="Arial" w:hAnsi="Arial"/>
          <w:b/>
          <w:bCs/>
          <w:color w:val="1B3A5C"/>
          <w:sz w:val="28"/>
          <w:szCs w:val="28"/>
        </w:rPr>
        <w:t xml:space="preserve">Key Results</w:t>
      </w:r>
    </w:p>
    <w:p>
      <w:pPr>
        <w:spacing w:after="120" w:line="360"/>
      </w:pPr>
      <w:r>
        <w:rPr>
          <w:rFonts w:ascii="Arial" w:cs="Arial" w:eastAsia="Arial" w:hAnsi="Arial"/>
          <w:sz w:val="22"/>
          <w:szCs w:val="22"/>
        </w:rPr>
        <w:t xml:space="preserve">All 35 scenarios exhibit r_s = 1 and \u03c0 = 1.00, indicating that the composition is fully separable into one dominant fossil mode and one dominant clean mode.</w:t>
      </w:r>
    </w:p>
    <w:p>
      <w:pPr>
        <w:spacing w:after="120" w:line="360"/>
      </w:pPr>
      <w:r>
        <w:rPr>
          <w:rFonts w:ascii="Arial" w:cs="Arial" w:eastAsia="Arial" w:hAnsi="Arial"/>
          <w:sz w:val="22"/>
          <w:szCs w:val="22"/>
        </w:rPr>
        <w:t xml:space="preserve">Dominant fossil mode: [-0.578, -0.578, -0.578, 0, 0, 0, 0, 0, 0]. All three fossil carriers (Coal, Gas, Oil) decline uniformly.</w:t>
      </w:r>
    </w:p>
    <w:p>
      <w:pPr>
        <w:spacing w:after="120" w:line="360"/>
      </w:pPr>
      <w:r>
        <w:rPr>
          <w:rFonts w:ascii="Arial" w:cs="Arial" w:eastAsia="Arial" w:hAnsi="Arial"/>
          <w:sz w:val="22"/>
          <w:szCs w:val="22"/>
        </w:rPr>
        <w:t xml:space="preserve">Dominant clean mode: [0, 0, 0, +0.408, +0.410, +0.409, +0.408, +0.407, +0.408]. All six clean carriers (Nuclear, Hydro, Biomass, Solar, Wind, Geo) grow with near-equal weighting.</w:t>
      </w:r>
    </w:p>
    <w:p>
      <w:pPr>
        <w:spacing w:after="120" w:line="360"/>
      </w:pPr>
      <w:r>
        <w:rPr>
          <w:rFonts w:ascii="Arial" w:cs="Arial" w:eastAsia="Arial" w:hAnsi="Arial"/>
          <w:sz w:val="22"/>
          <w:szCs w:val="22"/>
        </w:rPr>
        <w:t xml:space="preserve">Interpretation: The composition exhibits a single transfer channel. In 9-dimensional simplex, the transition follows a 1D path from fossil to clean. No scenario explores alternative decarbonization geometries. Cross-fuel substitution, diversification within clean energy, and structural alternatives are either not represented in the IAMs or are subordinate to the dominant fossil\u2014clean channel.</w:t>
      </w:r>
    </w:p>
    <w:p>
      <w:r>
        <w:br w:type="page"/>
      </w:r>
    </w:p>
    <w:p>
      <w:pPr>
        <w:pStyle w:val="Heading1"/>
        <w:spacing w:after="120" w:before="240"/>
      </w:pPr>
      <w:r>
        <w:rPr>
          <w:rFonts w:ascii="Arial" w:cs="Arial" w:eastAsia="Arial" w:hAnsi="Arial"/>
          <w:b/>
          <w:bCs/>
          <w:color w:val="1B3A5C"/>
          <w:sz w:val="32"/>
          <w:szCs w:val="32"/>
        </w:rPr>
        <w:t xml:space="preserve">Section 4: Tool 4 — GHZ Tripartite Test</w:t>
      </w:r>
    </w:p>
    <w:p>
      <w:pPr>
        <w:pStyle w:val="Heading2"/>
        <w:spacing w:after="100" w:before="180"/>
      </w:pPr>
      <w:r>
        <w:rPr>
          <w:rFonts w:ascii="Arial" w:cs="Arial" w:eastAsia="Arial" w:hAnsi="Arial"/>
          <w:b/>
          <w:bCs/>
          <w:color w:val="1B3A5C"/>
          <w:sz w:val="28"/>
          <w:szCs w:val="28"/>
        </w:rPr>
        <w:t xml:space="preserve">Method</w:t>
      </w:r>
    </w:p>
    <w:p>
      <w:pPr>
        <w:spacing w:after="120" w:line="360"/>
      </w:pPr>
      <w:r>
        <w:rPr>
          <w:rFonts w:ascii="Arial" w:cs="Arial" w:eastAsia="Arial" w:hAnsi="Arial"/>
          <w:sz w:val="22"/>
          <w:szCs w:val="22"/>
        </w:rPr>
        <w:t xml:space="preserve">The Mermin quantity M_3 tests genuine tripartite entanglement among three groups: Fossil (Coal, Gas, Oil), Bridge (Nuclear, Hydro, Biomass), Renewable (Solar, Wind, Geo). A violation M_3 &gt; 2 signals genuine three-body correlation. The tripartite residual measures the strength of residual correlation after pairwise structures are accounted for.</w:t>
      </w:r>
    </w:p>
    <w:p>
      <w:pPr>
        <w:pStyle w:val="Heading2"/>
        <w:spacing w:after="100" w:before="180"/>
      </w:pPr>
      <w:r>
        <w:rPr>
          <w:rFonts w:ascii="Arial" w:cs="Arial" w:eastAsia="Arial" w:hAnsi="Arial"/>
          <w:b/>
          <w:bCs/>
          <w:color w:val="1B3A5C"/>
          <w:sz w:val="28"/>
          <w:szCs w:val="28"/>
        </w:rPr>
        <w:t xml:space="preserve">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200"/>
        <w:gridCol w:w="1200"/>
        <w:gridCol w:w="1200"/>
        <w:gridCol w:w="1460"/>
      </w:tblGrid>
      <w:tr>
        <w:tc>
          <w:tcPr>
            <w:tcW w:type="dxa" w:w="16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Model</w:t>
            </w:r>
          </w:p>
        </w:tc>
        <w:tc>
          <w:tcPr>
            <w:tcW w:type="dxa" w:w="17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Scenario</w:t>
            </w:r>
          </w:p>
        </w:tc>
        <w:tc>
          <w:tcPr>
            <w:tcW w:type="dxa" w:w="1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M_3</w:t>
            </w:r>
          </w:p>
        </w:tc>
        <w:tc>
          <w:tcPr>
            <w:tcW w:type="dxa" w:w="1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C_AB</w:t>
            </w:r>
          </w:p>
        </w:tc>
        <w:tc>
          <w:tcPr>
            <w:tcW w:type="dxa" w:w="1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C_BC</w:t>
            </w:r>
          </w:p>
        </w:tc>
        <w:tc>
          <w:tcPr>
            <w:tcW w:type="dxa" w:w="14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rPr>
              <w:t xml:space="preserve">Tripartite Res.</w:t>
            </w:r>
          </w:p>
        </w:tc>
      </w:tr>
      <w:tr>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0.06</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-0.91</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-0.88</w:t>
            </w:r>
          </w:p>
        </w:tc>
        <w:tc>
          <w:tcPr>
            <w:tcW w:type="dxa" w:w="14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-0.84</w:t>
            </w:r>
          </w:p>
        </w:tc>
      </w:tr>
      <w:tr>
        <w:tc>
          <w:tcPr>
            <w:tcW w:type="dxa" w:w="16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17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Low Demand</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0.05</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-0.93</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-0.86</w:t>
            </w:r>
          </w:p>
        </w:tc>
        <w:tc>
          <w:tcPr>
            <w:tcW w:type="dxa" w:w="14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-1.00</w:t>
            </w:r>
          </w:p>
        </w:tc>
      </w:tr>
      <w:tr>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MESSAGEix</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0.04</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-0.89</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-0.85</w:t>
            </w:r>
          </w:p>
        </w:tc>
        <w:tc>
          <w:tcPr>
            <w:tcW w:type="dxa" w:w="14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-0.76</w:t>
            </w:r>
          </w:p>
        </w:tc>
      </w:tr>
      <w:tr>
        <w:tc>
          <w:tcPr>
            <w:tcW w:type="dxa" w:w="16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REMIND</w:t>
            </w:r>
          </w:p>
        </w:tc>
        <w:tc>
          <w:tcPr>
            <w:tcW w:type="dxa" w:w="17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Net Zero</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0.07</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-0.92</w:t>
            </w:r>
          </w:p>
        </w:tc>
        <w:tc>
          <w:tcPr>
            <w:tcW w:type="dxa" w:w="120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-0.87</w:t>
            </w:r>
          </w:p>
        </w:tc>
        <w:tc>
          <w:tcPr>
            <w:tcW w:type="dxa" w:w="1460"/>
            <w:tcBorders>
              <w:top w:val="single" w:color="BBBBBB" w:sz="1"/>
              <w:left w:val="single" w:color="BBBBBB" w:sz="1"/>
              <w:bottom w:val="single" w:color="BBBBBB" w:sz="1"/>
              <w:right w:val="single" w:color="BBBBBB" w:sz="1"/>
            </w:tcBorders>
            <w:shd w:fill="E8F0FE" w:val="clear"/>
            <w:tcMar>
              <w:top w:type="dxa" w:w="80"/>
              <w:left w:type="dxa" w:w="120"/>
              <w:bottom w:type="dxa" w:w="80"/>
              <w:right w:type="dxa" w:w="120"/>
            </w:tcMar>
            <w:vAlign w:val="center"/>
          </w:tcPr>
          <w:p>
            <w:pPr>
              <w:jc w:val="center"/>
            </w:pPr>
            <w:r>
              <w:rPr>
                <w:rFonts w:ascii="Arial" w:cs="Arial" w:eastAsia="Arial" w:hAnsi="Arial"/>
                <w:sz w:val="22"/>
                <w:szCs w:val="22"/>
              </w:rPr>
              <w:t xml:space="preserve">-0.82</w:t>
            </w:r>
          </w:p>
        </w:tc>
      </w:tr>
      <w:tr>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GCAM</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Current Policies</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0.02</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-0.12</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-0.08</w:t>
            </w:r>
          </w:p>
        </w:tc>
        <w:tc>
          <w:tcPr>
            <w:tcW w:type="dxa" w:w="146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pPr>
              <w:jc w:val="center"/>
            </w:pPr>
            <w:r>
              <w:rPr>
                <w:rFonts w:ascii="Arial" w:cs="Arial" w:eastAsia="Arial" w:hAnsi="Arial"/>
                <w:sz w:val="22"/>
                <w:szCs w:val="22"/>
              </w:rPr>
              <w:t xml:space="preserve">0.01</w:t>
            </w:r>
          </w:p>
        </w:tc>
      </w:tr>
    </w:tbl>
    <w:p>
      <w:pPr>
        <w:spacing w:after="120" w:line="360"/>
      </w:pPr>
      <w:r>
        <w:rPr>
          <w:rFonts w:ascii="Arial" w:cs="Arial" w:eastAsia="Arial" w:hAnsi="Arial"/>
          <w:sz w:val="22"/>
          <w:szCs w:val="22"/>
        </w:rPr>
        <w:t xml:space="preserve"/>
      </w:r>
    </w:p>
    <w:p>
      <w:pPr>
        <w:spacing w:after="120" w:line="360"/>
      </w:pPr>
      <w:r>
        <w:rPr>
          <w:rFonts w:ascii="Arial" w:cs="Arial" w:eastAsia="Arial" w:hAnsi="Arial"/>
          <w:sz w:val="22"/>
          <w:szCs w:val="22"/>
        </w:rPr>
        <w:t xml:space="preserve">No scenario shows Mermin violation (M_3 &gt; 2). However, tripartite residual values (\u2208 [-1.0, 0.1]) reveal significant three-body structure. The Bridge group decouples from both Fossil and Renewable under Net Zero, especially under Low Demand (residual = -1.00). This is the first quantitative evidence that bridge fuels maintain compositional independence, contradicting the narrative that all non-fossil energy sources merge into a single renewable pool.</w:t>
      </w:r>
    </w:p>
    <w:p>
      <w:pPr>
        <w:spacing w:after="120" w:line="360"/>
      </w:pPr>
      <w:r>
        <w:rPr>
          <w:rFonts w:ascii="Arial" w:cs="Arial" w:eastAsia="Arial" w:hAnsi="Arial"/>
          <w:sz w:val="22"/>
          <w:szCs w:val="22"/>
        </w:rPr>
        <w:t xml:space="preserve">Under Current Policies, tripartite residual \u2248 0, indicating weak three-body coupling; the system remains essentially fossil-dominated with minimal group structure.</w:t>
      </w:r>
    </w:p>
    <w:p>
      <w:r>
        <w:br w:type="page"/>
      </w:r>
    </w:p>
    <w:p>
      <w:pPr>
        <w:pStyle w:val="Heading1"/>
        <w:spacing w:after="120" w:before="240"/>
      </w:pPr>
      <w:r>
        <w:rPr>
          <w:rFonts w:ascii="Arial" w:cs="Arial" w:eastAsia="Arial" w:hAnsi="Arial"/>
          <w:b/>
          <w:bCs/>
          <w:color w:val="1B3A5C"/>
          <w:sz w:val="32"/>
          <w:szCs w:val="32"/>
        </w:rPr>
        <w:t xml:space="preserve">Section 5: Tool 5 — Quantum Fidelity</w:t>
      </w:r>
    </w:p>
    <w:p>
      <w:pPr>
        <w:pStyle w:val="Heading2"/>
        <w:spacing w:after="100" w:before="180"/>
      </w:pPr>
      <w:r>
        <w:rPr>
          <w:rFonts w:ascii="Arial" w:cs="Arial" w:eastAsia="Arial" w:hAnsi="Arial"/>
          <w:b/>
          <w:bCs/>
          <w:color w:val="1B3A5C"/>
          <w:sz w:val="28"/>
          <w:szCs w:val="28"/>
        </w:rPr>
        <w:t xml:space="preserve">Method</w:t>
      </w:r>
    </w:p>
    <w:p>
      <w:pPr>
        <w:spacing w:after="120" w:line="360"/>
      </w:pPr>
      <w:r>
        <w:rPr>
          <w:rFonts w:ascii="Arial" w:cs="Arial" w:eastAsia="Arial" w:hAnsi="Arial"/>
          <w:sz w:val="22"/>
          <w:szCs w:val="22"/>
        </w:rPr>
        <w:t xml:space="preserve">Quantum fidelity F(\u03c1, \u03c3) = (Tr\u221a(\u221a\u03c1 \u03c3 \u221a\u03c1))^2 measures the overlap between two CLR density matrices. F = 1 indicates identical compositions; F = 0 indicates orthogonal structures. Computed across all 595 pairwise scenario comparisons.</w:t>
      </w:r>
    </w:p>
    <w:p>
      <w:pPr>
        <w:pStyle w:val="Heading2"/>
        <w:spacing w:after="100" w:before="180"/>
      </w:pPr>
      <w:r>
        <w:rPr>
          <w:rFonts w:ascii="Arial" w:cs="Arial" w:eastAsia="Arial" w:hAnsi="Arial"/>
          <w:b/>
          <w:bCs/>
          <w:color w:val="1B3A5C"/>
          <w:sz w:val="28"/>
          <w:szCs w:val="28"/>
        </w:rPr>
        <w:t xml:space="preserve">Key Results</w:t>
      </w:r>
    </w:p>
    <w:p>
      <w:pPr>
        <w:spacing w:after="120" w:line="360"/>
      </w:pPr>
      <w:r>
        <w:rPr>
          <w:rFonts w:ascii="Arial" w:cs="Arial" w:eastAsia="Arial" w:hAnsi="Arial"/>
          <w:sz w:val="22"/>
          <w:szCs w:val="22"/>
        </w:rPr>
        <w:t xml:space="preserve">Mean fidelity: F_mean = 0.946 across all 595 pairs.</w:t>
      </w:r>
    </w:p>
    <w:p>
      <w:pPr>
        <w:spacing w:after="120" w:line="360"/>
      </w:pPr>
      <w:r>
        <w:rPr>
          <w:rFonts w:ascii="Arial" w:cs="Arial" w:eastAsia="Arial" w:hAnsi="Arial"/>
          <w:sz w:val="22"/>
          <w:szCs w:val="22"/>
        </w:rPr>
        <w:t xml:space="preserve">Most different pair: MESSAGEix Nationally Determined Contributions (NDC) vs. REMIND Fragmented World (F = 0.777).</w:t>
      </w:r>
    </w:p>
    <w:p>
      <w:pPr>
        <w:spacing w:after="120" w:line="360"/>
      </w:pPr>
      <w:r>
        <w:rPr>
          <w:rFonts w:ascii="Arial" w:cs="Arial" w:eastAsia="Arial" w:hAnsi="Arial"/>
          <w:sz w:val="22"/>
          <w:szCs w:val="22"/>
        </w:rPr>
        <w:t xml:space="preserve">Cross-model fidelity by scenario:</w:t>
      </w:r>
    </w:p>
    <w:p>
      <w:pPr>
        <w:pStyle w:val="ListParagraph"/>
        <w:numPr>
          <w:ilvl w:val="0"/>
          <w:numId w:val="2"/>
        </w:numPr>
        <w:spacing w:after="80"/>
      </w:pPr>
      <w:r>
        <w:rPr>
          <w:rFonts w:ascii="Arial" w:cs="Arial" w:eastAsia="Arial" w:hAnsi="Arial"/>
        </w:rPr>
        <w:t xml:space="preserve">Net Zero: F = 0.988 (all three IAMs see nearly identical compositions)</w:t>
      </w:r>
    </w:p>
    <w:p>
      <w:pPr>
        <w:pStyle w:val="ListParagraph"/>
        <w:numPr>
          <w:ilvl w:val="0"/>
          <w:numId w:val="2"/>
        </w:numPr>
        <w:spacing w:after="80"/>
      </w:pPr>
      <w:r>
        <w:rPr>
          <w:rFonts w:ascii="Arial" w:cs="Arial" w:eastAsia="Arial" w:hAnsi="Arial"/>
        </w:rPr>
        <w:t xml:space="preserve">Fragmented World: F = 0.898 (divergence begins)</w:t>
      </w:r>
    </w:p>
    <w:p>
      <w:pPr>
        <w:pStyle w:val="ListParagraph"/>
        <w:numPr>
          <w:ilvl w:val="0"/>
          <w:numId w:val="2"/>
        </w:numPr>
        <w:spacing w:after="240"/>
      </w:pPr>
      <w:r>
        <w:rPr>
          <w:rFonts w:ascii="Arial" w:cs="Arial" w:eastAsia="Arial" w:hAnsi="Arial"/>
        </w:rPr>
        <w:t xml:space="preserve">Below 2\u00b0C: F = 0.934 (moderate spread)</w:t>
      </w:r>
    </w:p>
    <w:p>
      <w:pPr>
        <w:spacing w:after="120" w:line="360"/>
      </w:pPr>
      <w:r>
        <w:rPr>
          <w:rFonts w:ascii="Arial" w:cs="Arial" w:eastAsia="Arial" w:hAnsi="Arial"/>
          <w:sz w:val="22"/>
          <w:szCs w:val="22"/>
        </w:rPr>
        <w:t xml:space="preserve">Cross-scenario fidelity by model:</w:t>
      </w:r>
    </w:p>
    <w:p>
      <w:pPr>
        <w:pStyle w:val="ListParagraph"/>
        <w:numPr>
          <w:ilvl w:val="0"/>
          <w:numId w:val="2"/>
        </w:numPr>
        <w:spacing w:after="80"/>
      </w:pPr>
      <w:r>
        <w:rPr>
          <w:rFonts w:ascii="Arial" w:cs="Arial" w:eastAsia="Arial" w:hAnsi="Arial"/>
        </w:rPr>
        <w:t xml:space="preserve">GCAM: F_mean = 0.978 (tight clustering, insensitive to scenario)</w:t>
      </w:r>
    </w:p>
    <w:p>
      <w:pPr>
        <w:pStyle w:val="ListParagraph"/>
        <w:numPr>
          <w:ilvl w:val="0"/>
          <w:numId w:val="2"/>
        </w:numPr>
        <w:spacing w:after="80"/>
      </w:pPr>
      <w:r>
        <w:rPr>
          <w:rFonts w:ascii="Arial" w:cs="Arial" w:eastAsia="Arial" w:hAnsi="Arial"/>
        </w:rPr>
        <w:t xml:space="preserve">REMIND: F_mean = 0.925 (spread across scenarios, scenario-sensitive)</w:t>
      </w:r>
    </w:p>
    <w:p>
      <w:pPr>
        <w:pStyle w:val="ListParagraph"/>
        <w:numPr>
          <w:ilvl w:val="0"/>
          <w:numId w:val="2"/>
        </w:numPr>
        <w:spacing w:after="240"/>
      </w:pPr>
      <w:r>
        <w:rPr>
          <w:rFonts w:ascii="Arial" w:cs="Arial" w:eastAsia="Arial" w:hAnsi="Arial"/>
        </w:rPr>
        <w:t xml:space="preserve">MESSAGEix: F_mean = 0.941 (moderate sensitivity)</w:t>
      </w:r>
    </w:p>
    <w:p>
      <w:pPr>
        <w:spacing w:after="120" w:line="360"/>
      </w:pPr>
      <w:r>
        <w:rPr>
          <w:rFonts w:ascii="Arial" w:cs="Arial" w:eastAsia="Arial" w:hAnsi="Arial"/>
          <w:sz w:val="22"/>
          <w:szCs w:val="22"/>
        </w:rPr>
        <w:t xml:space="preserve">Interpretation: Under optimistic scenarios (Net Zero), all IAMs converge to a common energy composition. Under pessimistic scenarios (Fragmented World), IAM disagreement emerges, suggesting that model structure and regional assumptions matter when decarbonization falters. GCAM produces low-variance outputs across scenarios; REMIND is scenario-sensitive, potentially reflecting greater structural flexibility or parameter uncertainty.</w:t>
      </w:r>
    </w:p>
    <w:p>
      <w:r>
        <w:br w:type="page"/>
      </w:r>
    </w:p>
    <w:p>
      <w:pPr>
        <w:pStyle w:val="Heading1"/>
        <w:spacing w:after="120" w:before="240"/>
      </w:pPr>
      <w:r>
        <w:rPr>
          <w:rFonts w:ascii="Arial" w:cs="Arial" w:eastAsia="Arial" w:hAnsi="Arial"/>
          <w:b/>
          <w:bCs/>
          <w:color w:val="1B3A5C"/>
          <w:sz w:val="32"/>
          <w:szCs w:val="32"/>
        </w:rPr>
        <w:t xml:space="preserve">Section 6: Cross-Domain Applications</w:t>
      </w:r>
    </w:p>
    <w:p>
      <w:pPr>
        <w:spacing w:after="120" w:line="360"/>
      </w:pPr>
      <w:r>
        <w:rPr>
          <w:rFonts w:ascii="Arial" w:cs="Arial" w:eastAsia="Arial" w:hAnsi="Arial"/>
          <w:sz w:val="22"/>
          <w:szCs w:val="22"/>
        </w:rPr>
        <w:t xml:space="preserve">The five tools are domain-agnostic because they operate on the geometry of the simplex, not on domain-specific properties. Other fields with compositional data can apply these tools directly:</w:t>
      </w:r>
    </w:p>
    <w:p>
      <w:pPr>
        <w:pStyle w:val="ListParagraph"/>
        <w:numPr>
          <w:ilvl w:val="0"/>
          <w:numId w:val="2"/>
        </w:numPr>
        <w:spacing w:after="100"/>
      </w:pPr>
      <w:r>
        <w:rPr>
          <w:rFonts w:ascii="Arial" w:cs="Arial" w:eastAsia="Arial" w:hAnsi="Arial"/>
        </w:rPr>
        <w:t xml:space="preserve">Portfolio allocation: Asset weights (\u03a3w_i = 1) form a composition. Schmidt rank detects whether portfolio rebalancing follows a dominant mode or explores multi-dimensional strategies.</w:t>
      </w:r>
    </w:p>
    <w:p>
      <w:pPr>
        <w:pStyle w:val="ListParagraph"/>
        <w:numPr>
          <w:ilvl w:val="0"/>
          <w:numId w:val="2"/>
        </w:numPr>
        <w:spacing w:after="100"/>
      </w:pPr>
      <w:r>
        <w:rPr>
          <w:rFonts w:ascii="Arial" w:cs="Arial" w:eastAsia="Arial" w:hAnsi="Arial"/>
        </w:rPr>
        <w:t xml:space="preserve">Quantum state tomography: Born rule outputs are probability distributions (compositions). CoDa tools detect entanglement structure in quantum data without assuming a physical quantum system.</w:t>
      </w:r>
    </w:p>
    <w:p>
      <w:pPr>
        <w:pStyle w:val="ListParagraph"/>
        <w:numPr>
          <w:ilvl w:val="0"/>
          <w:numId w:val="2"/>
        </w:numPr>
        <w:spacing w:after="100"/>
      </w:pPr>
      <w:r>
        <w:rPr>
          <w:rFonts w:ascii="Arial" w:cs="Arial" w:eastAsia="Arial" w:hAnsi="Arial"/>
        </w:rPr>
        <w:t xml:space="preserve">Geochemistry: Mineral or isotope fractions are compositions. Leggett–Garg tests reveal whether chemical evolution exhibits temporal hysteresis.</w:t>
      </w:r>
    </w:p>
    <w:p>
      <w:pPr>
        <w:pStyle w:val="ListParagraph"/>
        <w:numPr>
          <w:ilvl w:val="0"/>
          <w:numId w:val="2"/>
        </w:numPr>
        <w:spacing w:after="100"/>
      </w:pPr>
      <w:r>
        <w:rPr>
          <w:rFonts w:ascii="Arial" w:cs="Arial" w:eastAsia="Arial" w:hAnsi="Arial"/>
        </w:rPr>
        <w:t xml:space="preserve">Microbiome analysis: Taxonomic abundances are compositions. Entanglement entropy ranks microbial community complexity.</w:t>
      </w:r>
    </w:p>
    <w:p>
      <w:pPr>
        <w:pStyle w:val="ListParagraph"/>
        <w:numPr>
          <w:ilvl w:val="0"/>
          <w:numId w:val="2"/>
        </w:numPr>
        <w:spacing w:after="240"/>
      </w:pPr>
      <w:r>
        <w:rPr>
          <w:rFonts w:ascii="Arial" w:cs="Arial" w:eastAsia="Arial" w:hAnsi="Arial"/>
        </w:rPr>
        <w:t xml:space="preserve">Electoral composition: Vote shares are compositions. Tripartite tests detect whether third parties form genuine independent blocks or merge into major-party basins.</w:t>
      </w:r>
    </w:p>
    <w:p>
      <w:r>
        <w:br w:type="page"/>
      </w:r>
    </w:p>
    <w:p>
      <w:pPr>
        <w:pStyle w:val="Heading1"/>
        <w:spacing w:after="120" w:before="240"/>
      </w:pPr>
      <w:r>
        <w:rPr>
          <w:rFonts w:ascii="Arial" w:cs="Arial" w:eastAsia="Arial" w:hAnsi="Arial"/>
          <w:b/>
          <w:bCs/>
          <w:color w:val="1B3A5C"/>
          <w:sz w:val="32"/>
          <w:szCs w:val="32"/>
        </w:rPr>
        <w:t xml:space="preserve">Section 7: Boundary Statement</w:t>
      </w:r>
    </w:p>
    <w:p>
      <w:pPr>
        <w:spacing w:after="120" w:line="360"/>
      </w:pPr>
      <w:r>
        <w:rPr>
          <w:rFonts w:ascii="Arial" w:cs="Arial" w:eastAsia="Arial" w:hAnsi="Arial"/>
          <w:sz w:val="22"/>
          <w:szCs w:val="22"/>
        </w:rPr>
        <w:t xml:space="preserve">The quantum information tools detect structural correspondence between energy compositions and quantum density matrices. This is a mathematical isomorphism, not a claim of physical quantum behavior.</w:t>
      </w:r>
    </w:p>
    <w:p>
      <w:pPr>
        <w:spacing w:after="120" w:line="360"/>
      </w:pPr>
      <w:r>
        <w:rPr>
          <w:rFonts w:ascii="Arial" w:cs="Arial" w:eastAsia="Arial" w:hAnsi="Arial"/>
          <w:sz w:val="22"/>
          <w:szCs w:val="22"/>
        </w:rPr>
        <w:t xml:space="preserve">Key constraints on interpretation:</w:t>
      </w:r>
    </w:p>
    <w:p>
      <w:pPr>
        <w:pStyle w:val="ListParagraph"/>
        <w:numPr>
          <w:ilvl w:val="0"/>
          <w:numId w:val="2"/>
        </w:numPr>
        <w:spacing w:after="100"/>
      </w:pPr>
      <w:r>
        <w:rPr>
          <w:rFonts w:ascii="Arial" w:cs="Arial" w:eastAsia="Arial" w:hAnsi="Arial"/>
        </w:rPr>
        <w:t xml:space="preserve">Structural correspondence: The tools measure dimensionality, temporal coupling, and correlation rank in compositional data. These are real properties of the data, but naming them \u201centanglement\u201d and \u201cBell violation\u201d is metaphorical, not literal.</w:t>
      </w:r>
    </w:p>
    <w:p>
      <w:pPr>
        <w:pStyle w:val="ListParagraph"/>
        <w:numPr>
          <w:ilvl w:val="0"/>
          <w:numId w:val="2"/>
        </w:numPr>
        <w:spacing w:after="100"/>
      </w:pPr>
      <w:r>
        <w:rPr>
          <w:rFonts w:ascii="Arial" w:cs="Arial" w:eastAsia="Arial" w:hAnsi="Arial"/>
        </w:rPr>
        <w:t xml:space="preserve">Open-loop doctrine: The tools observe and report structure. Policy decisions are the sole responsibility of human actors. No tool output prescribes what should be done.</w:t>
      </w:r>
    </w:p>
    <w:p>
      <w:pPr>
        <w:pStyle w:val="ListParagraph"/>
        <w:numPr>
          <w:ilvl w:val="0"/>
          <w:numId w:val="2"/>
        </w:numPr>
        <w:spacing w:after="100"/>
      </w:pPr>
      <w:r>
        <w:rPr>
          <w:rFonts w:ascii="Arial" w:cs="Arial" w:eastAsia="Arial" w:hAnsi="Arial"/>
        </w:rPr>
        <w:t xml:space="preserve">No exponential speedup: The simplex constraint is polynomial in dimension (\u2208 \u00d8(d)). These tools do not provide exponential quantum computational speedup. They are classical matrix operations on compositional statistics.</w:t>
      </w:r>
    </w:p>
    <w:p>
      <w:pPr>
        <w:pStyle w:val="ListParagraph"/>
        <w:numPr>
          <w:ilvl w:val="0"/>
          <w:numId w:val="2"/>
        </w:numPr>
        <w:spacing w:after="240"/>
      </w:pPr>
      <w:r>
        <w:rPr>
          <w:rFonts w:ascii="Arial" w:cs="Arial" w:eastAsia="Arial" w:hAnsi="Arial"/>
        </w:rPr>
        <w:t xml:space="preserve">Cryptographic security unaffected: AES-256 and other cryptographic standards operate on the full entropy space and are not weakened by compositional structure.</w:t>
      </w:r>
    </w:p>
    <w:p>
      <w:pPr>
        <w:spacing w:after="120" w:line="360"/>
      </w:pPr>
      <w:r>
        <w:rPr>
          <w:rFonts w:ascii="Arial" w:cs="Arial" w:eastAsia="Arial" w:hAnsi="Arial"/>
          <w:sz w:val="22"/>
          <w:szCs w:val="22"/>
        </w:rPr>
        <w:t xml:space="preserve">The HUF-QTM toolkit provides novel statistical lenses on compositional data. Its value lies in revealing hidden dimensional reduction, temporal memory, and correlation rank—not in any claim to simulate or harness quantum physics.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 CoDaWork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1"/>
      </w:pBdr>
      <w:spacing w:after="120"/>
    </w:pPr>
    <w:r>
      <w:rPr>
        <w:rFonts w:ascii="Arial" w:cs="Arial" w:eastAsia="Arial" w:hAnsi="Arial"/>
        <w:color w:val="808080"/>
        <w:sz w:val="22"/>
        <w:szCs w:val="22"/>
      </w:rPr>
      <w:t xml:space="preserve">HUF-QTM: Quantum Toolkit Results — Rogue Wave Audio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3A5C"/>
      <w:sz w:val="32"/>
      <w:szCs w:val="32"/>
    </w:rPr>
  </w:style>
  <w:style w:type="paragraph" w:styleId="Heading2">
    <w:name w:val="Heading 2"/>
    <w:basedOn w:val="Normal"/>
    <w:next w:val="Normal"/>
    <w:qFormat/>
    <w:pPr>
      <w:spacing w:after="100" w:before="18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2026-04-13T11:12:26.737Z</dcterms:created>
  <dcterms:modified xsi:type="dcterms:W3CDTF">2026-04-13T11:12:26.737Z</dcterms:modified>
</cp:coreProperties>
</file>

<file path=docProps/custom.xml><?xml version="1.0" encoding="utf-8"?>
<Properties xmlns="http://schemas.openxmlformats.org/officeDocument/2006/custom-properties" xmlns:vt="http://schemas.openxmlformats.org/officeDocument/2006/docPropsVTypes"/>
</file>