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Times New Roman" w:cs="Times New Roman" w:eastAsia="Times New Roman" w:hAnsi="Times New Roman"/>
          <w:b/>
          <w:bCs/>
          <w:color w:val="1F3864"/>
          <w:sz w:val="36"/>
          <w:szCs w:val="36"/>
        </w:rPr>
        <w:t xml:space="preserve">HIGGINS UNITY FRAMEWORK</w:t>
      </w:r>
    </w:p>
    <w:p>
      <w:pPr>
        <w:spacing w:after="400"/>
        <w:jc w:val="center"/>
      </w:pPr>
      <w:r>
        <w:rPr>
          <w:rFonts w:ascii="Times New Roman" w:cs="Times New Roman" w:eastAsia="Times New Roman" w:hAnsi="Times New Roman"/>
          <w:color w:val="2E75B6"/>
          <w:sz w:val="32"/>
          <w:szCs w:val="32"/>
        </w:rPr>
        <w:t xml:space="preserve">The Topography Conjecture</w:t>
      </w:r>
    </w:p>
    <w:p>
      <w:pPr>
        <w:spacing w:after="200"/>
        <w:jc w:val="center"/>
      </w:pPr>
      <w:r>
        <w:rPr>
          <w:rFonts w:ascii="Times New Roman" w:cs="Times New Roman" w:eastAsia="Times New Roman" w:hAnsi="Times New Roman"/>
          <w:i/>
          <w:iCs/>
          <w:color w:val="333333"/>
          <w:sz w:val="24"/>
          <w:szCs w:val="24"/>
        </w:rPr>
        <w:t xml:space="preserve">From Points to Manifolds via Self-Organizing Q-Node Geometry</w:t>
      </w:r>
    </w:p>
    <w:p>
      <w:pPr>
        <w:spacing w:before="600"/>
      </w:pPr>
    </w:p>
    <w:p>
      <w:pPr>
        <w:spacing w:after="100"/>
        <w:jc w:val="center"/>
      </w:pPr>
      <w:r>
        <w:rPr>
          <w:rFonts w:ascii="Times New Roman" w:cs="Times New Roman" w:eastAsia="Times New Roman" w:hAnsi="Times New Roman"/>
          <w:color w:val="333333"/>
          <w:sz w:val="22"/>
          <w:szCs w:val="22"/>
        </w:rPr>
        <w:t xml:space="preserve">Version 1.0  ·  [CONJECTURE]</w:t>
      </w:r>
    </w:p>
    <w:p>
      <w:pPr>
        <w:spacing w:after="100"/>
        <w:jc w:val="center"/>
      </w:pPr>
      <w:r>
        <w:rPr>
          <w:rFonts w:ascii="Times New Roman" w:cs="Times New Roman" w:eastAsia="Times New Roman" w:hAnsi="Times New Roman"/>
          <w:color w:val="333333"/>
          <w:sz w:val="22"/>
          <w:szCs w:val="22"/>
        </w:rPr>
        <w:t xml:space="preserve">March 2026</w:t>
      </w:r>
    </w:p>
    <w:p>
      <w:pPr>
        <w:spacing w:after="100"/>
        <w:jc w:val="center"/>
      </w:pPr>
      <w:r>
        <w:rPr>
          <w:rFonts w:ascii="Times New Roman" w:cs="Times New Roman" w:eastAsia="Times New Roman" w:hAnsi="Times New Roman"/>
          <w:b/>
          <w:bCs/>
          <w:color w:val="333333"/>
          <w:sz w:val="22"/>
          <w:szCs w:val="22"/>
        </w:rPr>
        <w:t xml:space="preserve">Peter Higgins</w:t>
      </w:r>
    </w:p>
    <w:p>
      <w:pPr>
        <w:spacing w:before="200"/>
      </w:pPr>
    </w:p>
    <w:p>
      <w:pPr>
        <w:spacing w:after="60"/>
        <w:jc w:val="center"/>
      </w:pPr>
      <w:r>
        <w:rPr>
          <w:rFonts w:ascii="Times New Roman" w:cs="Times New Roman" w:eastAsia="Times New Roman" w:hAnsi="Times New Roman"/>
          <w:i/>
          <w:iCs/>
          <w:color w:val="2E75B6"/>
          <w:sz w:val="20"/>
          <w:szCs w:val="20"/>
        </w:rPr>
        <w:t xml:space="preserve">Contributors</w:t>
      </w:r>
    </w:p>
    <w:p>
      <w:pPr>
        <w:spacing w:after="60"/>
        <w:jc w:val="center"/>
      </w:pPr>
      <w:r>
        <w:rPr>
          <w:rFonts w:ascii="Times New Roman" w:cs="Times New Roman" w:eastAsia="Times New Roman" w:hAnsi="Times New Roman"/>
          <w:color w:val="333333"/>
          <w:sz w:val="20"/>
          <w:szCs w:val="20"/>
        </w:rPr>
        <w:t xml:space="preserve">Grok (xAI) — Conjecture development, SOM formalization, simulation</w:t>
      </w:r>
    </w:p>
    <w:p>
      <w:pPr>
        <w:spacing w:after="60"/>
        <w:jc w:val="center"/>
      </w:pPr>
      <w:r>
        <w:rPr>
          <w:rFonts w:ascii="Times New Roman" w:cs="Times New Roman" w:eastAsia="Times New Roman" w:hAnsi="Times New Roman"/>
          <w:color w:val="333333"/>
          <w:sz w:val="20"/>
          <w:szCs w:val="20"/>
        </w:rPr>
        <w:t xml:space="preserve">Claude (Anthropic) — Critical review, distillation, document formalization</w:t>
      </w:r>
    </w:p>
    <w:p>
      <w:pPr>
        <w:spacing w:after="100"/>
        <w:jc w:val="center"/>
      </w:pPr>
      <w:r>
        <w:rPr>
          <w:rFonts w:ascii="Times New Roman" w:cs="Times New Roman" w:eastAsia="Times New Roman" w:hAnsi="Times New Roman"/>
          <w:i/>
          <w:iCs/>
          <w:color w:val="2E75B6"/>
          <w:sz w:val="20"/>
          <w:szCs w:val="20"/>
        </w:rPr>
        <w:t xml:space="preserve">5-AI Collective Review Document</w:t>
      </w:r>
    </w:p>
    <w:p>
      <w:r>
        <w:br w:type="page"/>
      </w:r>
    </w:p>
    <w:p>
      <w:pPr>
        <w:pStyle w:val="Heading1"/>
        <w:spacing w:after="200" w:before="360"/>
      </w:pPr>
      <w:r>
        <w:rPr>
          <w:rFonts w:ascii="Times New Roman" w:cs="Times New Roman" w:eastAsia="Times New Roman" w:hAnsi="Times New Roman"/>
          <w:b/>
          <w:bCs/>
          <w:color w:val="1F3864"/>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rPr>
          <w:rFonts w:ascii="Times New Roman" w:cs="Times New Roman" w:eastAsia="Times New Roman" w:hAnsi="Times New Roman"/>
          <w:b/>
          <w:bCs/>
          <w:color w:val="1F3864"/>
          <w:sz w:val="28"/>
          <w:szCs w:val="28"/>
        </w:rPr>
        <w:t xml:space="preserve">1. Abstract</w:t>
      </w:r>
    </w:p>
    <w:p>
      <w:pPr>
        <w:spacing w:after="160"/>
        <w:jc w:val="both"/>
      </w:pPr>
      <w:r>
        <w:rPr>
          <w:rFonts w:ascii="Times New Roman" w:cs="Times New Roman" w:eastAsia="Times New Roman" w:hAnsi="Times New Roman"/>
          <w:b/>
          <w:bCs/>
          <w:i/>
          <w:iCs/>
          <w:color w:val="2E75B6"/>
          <w:sz w:val="22"/>
          <w:szCs w:val="22"/>
        </w:rPr>
        <w:t xml:space="preserve">Evidentiary tier: [CONJECTURE]. </w:t>
      </w:r>
      <w:r>
        <w:rPr>
          <w:rFonts w:ascii="Times New Roman" w:cs="Times New Roman" w:eastAsia="Times New Roman" w:hAnsi="Times New Roman"/>
          <w:color w:val="333333"/>
          <w:sz w:val="22"/>
          <w:szCs w:val="22"/>
        </w:rPr>
        <w:t xml:space="preserve">This document presents the HUF Topography Conjecture, a speculative but mathematically grounded extension of the Higgins Unity Framework. The conjecture proposes that HUF systems, when connected through sensitivity nodes (Q-nodes), naturally scale from zero-dimensional points to higher-dimensional manifolds, with the emergent topography itself constituting the solution to the monitoring question the data poses.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core claim is that HUF need not impose a fixed monitoring template on a system. Instead, the data self-organizes the Q-node structure through a process analogous to Kohonen Self-Organizing Maps (SOM), where the resulting manifold geometry captures the intrinsic relationships within the ratio portfolio. This reframes HUF from a static monitoring overlay to a data-induced geometric structure that adapts its dimensionality and resolution to the system it monitors.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document formalizes four components: the simplex as ambient space, Q-nodes as manifold discretization, self-organization via drift-modulated competitive learning, and mixed-geometry hierarchies for multi-scale deployment. All claims are tagged with evidentiary tiers per HUF convention.</w:t>
      </w:r>
    </w:p>
    <w:p>
      <w:r>
        <w:br w:type="page"/>
      </w:r>
    </w:p>
    <w:p>
      <w:pPr>
        <w:pStyle w:val="Heading1"/>
        <w:spacing w:after="200" w:before="360"/>
      </w:pPr>
      <w:r>
        <w:rPr>
          <w:rFonts w:ascii="Times New Roman" w:cs="Times New Roman" w:eastAsia="Times New Roman" w:hAnsi="Times New Roman"/>
          <w:b/>
          <w:bCs/>
          <w:color w:val="1F3864"/>
          <w:sz w:val="28"/>
          <w:szCs w:val="28"/>
        </w:rPr>
        <w:t xml:space="preserve">2. Motivation and Origin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conjecture emerged from a question about the geometric nature of HUF itself. The framework operates on the probability simplex, which is already a geometric object. If the simplex is the ambient space, and ratio portfolios are points within it, then what is the shape of the structure that monitoring induces?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initial observation was that HUF is dimensionless. The ratio portfolio lives on the standard simplex, which is defined by relative proportions, not absolute magnitudes. This makes HUF invariant under scaling, analogous to dimensionless numbers in physics such as the Reynolds number or the quality factor Q.</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key insight followed: if Q is reinterpreted not merely as a damping parameter but as a sensitivity vertex in a graph, then a single HUF system is a loop of length one connected to a single Q-node. Adding a second Q-node produces two "answers" (perspectives on the system). Adding n Q-nodes produces n answers. In the limit, as the number of connected HUF systems grows, the discrete graph of Q-nodes approximates a continuous manifold whose geometry encodes the monitoring solution.</w:t>
      </w:r>
    </w:p>
    <w:p>
      <w:pPr>
        <w:spacing w:after="160"/>
        <w:jc w:val="both"/>
      </w:pPr>
      <w:r>
        <w:rPr>
          <w:rFonts w:ascii="Times New Roman" w:cs="Times New Roman" w:eastAsia="Times New Roman" w:hAnsi="Times New Roman"/>
          <w:i/>
          <w:iCs/>
          <w:color w:val="333333"/>
          <w:sz w:val="22"/>
          <w:szCs w:val="22"/>
        </w:rPr>
        <w:t xml:space="preserve">The question becomes: </w:t>
      </w:r>
      <w:r>
        <w:rPr>
          <w:rFonts w:ascii="Times New Roman" w:cs="Times New Roman" w:eastAsia="Times New Roman" w:hAnsi="Times New Roman"/>
          <w:color w:val="333333"/>
          <w:sz w:val="22"/>
          <w:szCs w:val="22"/>
        </w:rPr>
        <w:t xml:space="preserve">Is HUF a self-organizing map where the topography is the answer to the question the data provides? That is, does the structure from a point to a manifold form the solution?</w:t>
      </w:r>
    </w:p>
    <w:p>
      <w:pPr>
        <w:spacing w:after="160" w:before="80"/>
      </w:pPr>
      <w:r>
        <w:rPr>
          <w:rFonts w:ascii="Times New Roman" w:cs="Times New Roman" w:eastAsia="Times New Roman" w:hAnsi="Times New Roman"/>
          <w:i/>
          <w:iCs/>
          <w:color w:val="2E75B6"/>
          <w:sz w:val="20"/>
          <w:szCs w:val="20"/>
        </w:rPr>
        <w:t xml:space="preserve">▶ Origin: Peter Higgins conjecture, developed with Grok (xAI), March 12, 2026</w:t>
      </w:r>
    </w:p>
    <w:p>
      <w:r>
        <w:br w:type="page"/>
      </w:r>
    </w:p>
    <w:p>
      <w:pPr>
        <w:pStyle w:val="Heading1"/>
        <w:spacing w:after="200" w:before="360"/>
      </w:pPr>
      <w:r>
        <w:rPr>
          <w:rFonts w:ascii="Times New Roman" w:cs="Times New Roman" w:eastAsia="Times New Roman" w:hAnsi="Times New Roman"/>
          <w:b/>
          <w:bCs/>
          <w:color w:val="1F3864"/>
          <w:sz w:val="28"/>
          <w:szCs w:val="28"/>
        </w:rPr>
        <w:t xml:space="preserve">3. Mathematical Foundations</w:t>
      </w:r>
    </w:p>
    <w:p>
      <w:pPr>
        <w:pStyle w:val="Heading2"/>
        <w:spacing w:after="160" w:before="280"/>
      </w:pPr>
      <w:r>
        <w:rPr>
          <w:rFonts w:ascii="Times New Roman" w:cs="Times New Roman" w:eastAsia="Times New Roman" w:hAnsi="Times New Roman"/>
          <w:b/>
          <w:bCs/>
          <w:color w:val="1F3864"/>
          <w:sz w:val="24"/>
          <w:szCs w:val="24"/>
        </w:rPr>
        <w:t xml:space="preserve">3.1 The Simplex as Ambient Space [THEOREM]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HUF operates on the standard probability simplex, a well-defined geometric object in compositional data analysis:</w:t>
      </w:r>
    </w:p>
    <w:p>
      <w:pPr>
        <w:spacing w:after="120" w:before="120"/>
        <w:ind w:left="720" w:right="720"/>
        <w:jc w:val="center"/>
      </w:pPr>
      <w:r>
        <w:rPr>
          <w:rFonts w:ascii="Consolas" w:cs="Consolas" w:eastAsia="Consolas" w:hAnsi="Consolas"/>
          <w:color w:val="333333"/>
          <w:sz w:val="21"/>
          <w:szCs w:val="21"/>
        </w:rPr>
        <w:t xml:space="preserve">Δ^{K-1} = { ρ ∈ ℝ^K  |  ρ_i ≥ 0,  Σρ_i = 1 }</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an affine (K-1)-dimensional subspace of real K-space. The natural metric is the Aitchison distance, which makes the simplex isometric to Euclidean space via the centered log-ratio (CLR) transform:</w:t>
      </w:r>
    </w:p>
    <w:p>
      <w:pPr>
        <w:spacing w:after="120" w:before="120"/>
        <w:ind w:left="720" w:right="720"/>
        <w:jc w:val="center"/>
      </w:pPr>
      <w:r>
        <w:rPr>
          <w:rFonts w:ascii="Consolas" w:cs="Consolas" w:eastAsia="Consolas" w:hAnsi="Consolas"/>
          <w:color w:val="333333"/>
          <w:sz w:val="21"/>
          <w:szCs w:val="21"/>
        </w:rPr>
        <w:t xml:space="preserve">clr(ρ) = log(ρ / g(ρ)),    g(ρ) = (∏ ρ_i)^{1/K}</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After CLR transformation, standard Euclidean distances and operations apply. The boundary of the simplex, where any component reaches zero, corresponds to the Sufficiency Frontier in HUF terminology.</w:t>
      </w:r>
    </w:p>
    <w:p>
      <w:pPr>
        <w:spacing w:after="160"/>
        <w:jc w:val="both"/>
      </w:pPr>
      <w:r>
        <w:rPr>
          <w:rFonts w:ascii="Times New Roman" w:cs="Times New Roman" w:eastAsia="Times New Roman" w:hAnsi="Times New Roman"/>
          <w:b/>
          <w:bCs/>
          <w:color w:val="2E75B6"/>
          <w:sz w:val="22"/>
          <w:szCs w:val="22"/>
        </w:rPr>
        <w:t xml:space="preserve">[THEOREM] </w:t>
      </w:r>
      <w:r>
        <w:rPr>
          <w:rFonts w:ascii="Times New Roman" w:cs="Times New Roman" w:eastAsia="Times New Roman" w:hAnsi="Times New Roman"/>
          <w:color w:val="333333"/>
          <w:sz w:val="22"/>
          <w:szCs w:val="22"/>
        </w:rPr>
        <w:t xml:space="preserve">The unity constraint is a conservation law. The simplex structure is not imposed by HUF but arises from any system where components exhaust a finite total. This geometric fact underpins the entire conjecture: the ambient space has intrinsic structure before any monitoring begins.</w:t>
      </w:r>
    </w:p>
    <w:p>
      <w:pPr>
        <w:pStyle w:val="Heading2"/>
        <w:spacing w:after="160" w:before="280"/>
      </w:pPr>
      <w:r>
        <w:rPr>
          <w:rFonts w:ascii="Times New Roman" w:cs="Times New Roman" w:eastAsia="Times New Roman" w:hAnsi="Times New Roman"/>
          <w:b/>
          <w:bCs/>
          <w:color w:val="1F3864"/>
          <w:sz w:val="24"/>
          <w:szCs w:val="24"/>
        </w:rPr>
        <w:t xml:space="preserve">3.2 Q-Nodes as Manifold Discretization [CONJECTURE]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quality factor Q in HUF governs resolution versus stability: high Q yields sharp but fragile sensitivity, low Q yields broad but stable monitoring. The conjecture reinterprets Q not as a scalar parameter but as a vertex in a monitoring graph.</w:t>
      </w:r>
    </w:p>
    <w:p>
      <w:pPr>
        <w:spacing w:after="160"/>
        <w:jc w:val="both"/>
      </w:pPr>
      <w:r>
        <w:rPr>
          <w:rFonts w:ascii="Times New Roman" w:cs="Times New Roman" w:eastAsia="Times New Roman" w:hAnsi="Times New Roman"/>
          <w:b/>
          <w:bCs/>
          <w:color w:val="333333"/>
          <w:sz w:val="22"/>
          <w:szCs w:val="22"/>
        </w:rPr>
        <w:t xml:space="preserve">Definition. </w:t>
      </w:r>
      <w:r>
        <w:rPr>
          <w:rFonts w:ascii="Times New Roman" w:cs="Times New Roman" w:eastAsia="Times New Roman" w:hAnsi="Times New Roman"/>
          <w:color w:val="333333"/>
          <w:sz w:val="22"/>
          <w:szCs w:val="22"/>
        </w:rPr>
        <w:t xml:space="preserve">A Q-node q_j is a point on or near the simplex equipped with a weight vector w_j representing local sensitivity. A collection of n Q-nodes V = {q_1, ..., q_n}, connected by edges from nearest-neighbor or Delaunay triangulation, forms a graph G = (V, E) that approximates the skeleton of a manifold M embedded in the simplex.</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dimensional progression follows naturally: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2800"/>
        <w:gridCol w:w="2760"/>
      </w:tblGrid>
      <w:tr>
        <w:tc>
          <w:tcPr>
            <w:tcW w:type="dxa" w:w="1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Q-Nodes</w:t>
            </w:r>
          </w:p>
        </w:tc>
        <w:tc>
          <w:tcPr>
            <w:tcW w:type="dxa" w:w="26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Geometric Object</w:t>
            </w:r>
          </w:p>
        </w:tc>
        <w:tc>
          <w:tcPr>
            <w:tcW w:type="dxa" w:w="2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Simplex Name</w:t>
            </w:r>
          </w:p>
        </w:tc>
        <w:tc>
          <w:tcPr>
            <w:tcW w:type="dxa" w:w="27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Answers</w:t>
            </w:r>
          </w:p>
        </w:tc>
      </w:tr>
      <w:tr>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Point (0-simplex)</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Single centroid</w:t>
            </w:r>
          </w:p>
        </w:tc>
        <w:tc>
          <w:tcPr>
            <w:tcW w:type="dxa" w:w="2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 global view</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Line segment (1-simplex)</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Edge between sensitivities</w:t>
            </w:r>
          </w:p>
        </w:tc>
        <w:tc>
          <w:tcPr>
            <w:tcW w:type="dxa" w:w="2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 perspectives</w:t>
            </w:r>
          </w:p>
        </w:tc>
      </w:tr>
      <w:tr>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Triangle (2-simplex)</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Face / triad</w:t>
            </w:r>
          </w:p>
        </w:tc>
        <w:tc>
          <w:tcPr>
            <w:tcW w:type="dxa" w:w="2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 localized views</w:t>
            </w:r>
          </w:p>
        </w:tc>
      </w:tr>
      <w:tr>
        <w:tc>
          <w:tcPr>
            <w:tcW w:type="dxa" w:w="1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w:t>
            </w:r>
          </w:p>
        </w:tc>
        <w:tc>
          <w:tcPr>
            <w:tcW w:type="dxa" w:w="26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Tetrahedron (3-simplex)</w:t>
            </w:r>
          </w:p>
        </w:tc>
        <w:tc>
          <w:tcPr>
            <w:tcW w:type="dxa" w:w="2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Volume / full structure</w:t>
            </w:r>
          </w:p>
        </w:tc>
        <w:tc>
          <w:tcPr>
            <w:tcW w:type="dxa" w:w="27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4+ perspectives</w:t>
            </w:r>
          </w:p>
        </w:tc>
      </w:tr>
      <w:tr>
        <w:tc>
          <w:tcPr>
            <w:tcW w:type="dxa" w:w="1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w:t>
            </w:r>
          </w:p>
        </w:tc>
        <w:tc>
          <w:tcPr>
            <w:tcW w:type="dxa" w:w="26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(n-1)-simplex or manifold</w:t>
            </w:r>
          </w:p>
        </w:tc>
        <w:tc>
          <w:tcPr>
            <w:tcW w:type="dxa" w:w="2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Data-induced topography</w:t>
            </w:r>
          </w:p>
        </w:tc>
        <w:tc>
          <w:tcPr>
            <w:tcW w:type="dxa" w:w="27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 answers</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2E75B6"/>
          <w:sz w:val="22"/>
          <w:szCs w:val="22"/>
        </w:rPr>
        <w:t xml:space="preserve">[CONJECTURE] </w:t>
      </w:r>
      <w:r>
        <w:rPr>
          <w:rFonts w:ascii="Times New Roman" w:cs="Times New Roman" w:eastAsia="Times New Roman" w:hAnsi="Times New Roman"/>
          <w:color w:val="333333"/>
          <w:sz w:val="22"/>
          <w:szCs w:val="22"/>
        </w:rPr>
        <w:t xml:space="preserve">In the limit as n grows and connections densify, the graph G converges (in the Gromov-Hausdorff sense) to a continuous manifold M whose intrinsic geometry encodes the monitoring structure. The manifold dimension m is typically much less than the ambient dimension K, consistent with the manifold hypothesis in machine learning: high-dimensional data often lies on low-dimensional structure.</w:t>
      </w:r>
    </w:p>
    <w:p>
      <w:pPr>
        <w:spacing w:after="160" w:before="80"/>
      </w:pPr>
      <w:r>
        <w:rPr>
          <w:rFonts w:ascii="Times New Roman" w:cs="Times New Roman" w:eastAsia="Times New Roman" w:hAnsi="Times New Roman"/>
          <w:i/>
          <w:iCs/>
          <w:color w:val="2E75B6"/>
          <w:sz w:val="20"/>
          <w:szCs w:val="20"/>
        </w:rPr>
        <w:t xml:space="preserve">▶ See: HUF Sufficiency Frontier v3.6, Whitney embedding theorem (m ≤ 2K-1, practically low)</w:t>
      </w:r>
    </w:p>
    <w:p>
      <w:r>
        <w:br w:type="page"/>
      </w:r>
    </w:p>
    <w:p>
      <w:pPr>
        <w:pStyle w:val="Heading1"/>
        <w:spacing w:after="200" w:before="360"/>
      </w:pPr>
      <w:r>
        <w:rPr>
          <w:rFonts w:ascii="Times New Roman" w:cs="Times New Roman" w:eastAsia="Times New Roman" w:hAnsi="Times New Roman"/>
          <w:b/>
          <w:bCs/>
          <w:color w:val="1F3864"/>
          <w:sz w:val="28"/>
          <w:szCs w:val="28"/>
        </w:rPr>
        <w:t xml:space="preserve">4. Self-Organizing Map Formalization</w:t>
      </w:r>
    </w:p>
    <w:p>
      <w:pPr>
        <w:pStyle w:val="Heading2"/>
        <w:spacing w:after="160" w:before="280"/>
      </w:pPr>
      <w:r>
        <w:rPr>
          <w:rFonts w:ascii="Times New Roman" w:cs="Times New Roman" w:eastAsia="Times New Roman" w:hAnsi="Times New Roman"/>
          <w:b/>
          <w:bCs/>
          <w:color w:val="1F3864"/>
          <w:sz w:val="24"/>
          <w:szCs w:val="24"/>
        </w:rPr>
        <w:t xml:space="preserve">4.1 Classical SOM Recall [THEOREM]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Kohonen Self-Organizing Maps (1982) create low-dimensional topographic maps of high-dimensional input data through competitive learning. A grid of M neurons, each with weight vector w_j, trains on inputs x(t) by:</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Best Matching Unit (BMU): </w:t>
      </w:r>
      <w:r>
        <w:rPr>
          <w:rFonts w:ascii="Times New Roman" w:cs="Times New Roman" w:eastAsia="Times New Roman" w:hAnsi="Times New Roman"/>
          <w:color w:val="333333"/>
          <w:sz w:val="22"/>
          <w:szCs w:val="22"/>
        </w:rPr>
        <w:t xml:space="preserve">Find c = arg min_j || x(t) - w_j(t) || (nearest neuron).</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Competitive update: </w:t>
      </w:r>
      <w:r>
        <w:rPr>
          <w:rFonts w:ascii="Times New Roman" w:cs="Times New Roman" w:eastAsia="Times New Roman" w:hAnsi="Times New Roman"/>
          <w:color w:val="333333"/>
          <w:sz w:val="22"/>
          <w:szCs w:val="22"/>
        </w:rPr>
        <w:t xml:space="preserve">w_j(t+1) = w_j(t) + h_{c,j}(t) [x(t) - w_j(t)], where h is a neighborhood function (typically Gaussian) that decreases over time.</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Convergence: </w:t>
      </w:r>
      <w:r>
        <w:rPr>
          <w:rFonts w:ascii="Times New Roman" w:cs="Times New Roman" w:eastAsia="Times New Roman" w:hAnsi="Times New Roman"/>
          <w:color w:val="333333"/>
          <w:sz w:val="22"/>
          <w:szCs w:val="22"/>
        </w:rPr>
        <w:t xml:space="preserve">The map self-organizes to approximate the input distribution, preserving topological order (nearby inputs activate nearby neurons).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established mathematics with well-understood convergence properties.</w:t>
      </w:r>
    </w:p>
    <w:p>
      <w:pPr>
        <w:pStyle w:val="Heading2"/>
        <w:spacing w:after="160" w:before="280"/>
      </w:pPr>
      <w:r>
        <w:rPr>
          <w:rFonts w:ascii="Times New Roman" w:cs="Times New Roman" w:eastAsia="Times New Roman" w:hAnsi="Times New Roman"/>
          <w:b/>
          <w:bCs/>
          <w:color w:val="1F3864"/>
          <w:sz w:val="24"/>
          <w:szCs w:val="24"/>
        </w:rPr>
        <w:t xml:space="preserve">4.2 HUF as SOM [CONJECTURE]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conjecture maps HUF components onto the SOM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SOM Component</w:t>
            </w:r>
          </w:p>
        </w:tc>
        <w:tc>
          <w:tcPr>
            <w:tcW w:type="dxa" w:w="3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HUF Interpretation</w:t>
            </w:r>
          </w:p>
        </w:tc>
        <w:tc>
          <w:tcPr>
            <w:tcW w:type="dxa" w:w="39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Mathematical Form</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Input space</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Probability simplex</w:t>
            </w:r>
          </w:p>
        </w:tc>
        <w:tc>
          <w:tcPr>
            <w:tcW w:type="dxa" w:w="3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Δ^{K-1} with Aitchison metric</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Data points x(t)</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Portfolio samples over time</w:t>
            </w:r>
          </w:p>
        </w:tc>
        <w:tc>
          <w:tcPr>
            <w:tcW w:type="dxa" w:w="3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ρ(t) from monitoring</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Neurons / grid</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Q-nodes on map</w:t>
            </w:r>
          </w:p>
        </w:tc>
        <w:tc>
          <w:tcPr>
            <w:tcW w:type="dxa" w:w="3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V = {q_1, ..., q_n} ⊂ Δ^{K-1}</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Weight vectors</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Q-sensitivity vectors</w:t>
            </w:r>
          </w:p>
        </w:tc>
        <w:tc>
          <w:tcPr>
            <w:tcW w:type="dxa" w:w="3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w_j = [q_1,...,q_K], Σ = 1</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Distance metric</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Aitchison distance</w:t>
            </w:r>
          </w:p>
        </w:tc>
        <w:tc>
          <w:tcPr>
            <w:tcW w:type="dxa" w:w="3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d_A(ρ, w_j) via CLR transform</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Learning rate</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MDG-modulated</w:t>
            </w:r>
          </w:p>
        </w:tc>
        <w:tc>
          <w:tcPr>
            <w:tcW w:type="dxa" w:w="3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η(t) = f(MDG(t)): fast on large drifts</w:t>
            </w:r>
          </w:p>
        </w:tc>
      </w:tr>
      <w:tr>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Neighborhood σ</w:t>
            </w:r>
          </w:p>
        </w:tc>
        <w:tc>
          <w:tcPr>
            <w:tcW w:type="dxa" w:w="3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Q-modulated radius</w:t>
            </w:r>
          </w:p>
        </w:tc>
        <w:tc>
          <w:tcPr>
            <w:tcW w:type="dxa" w:w="39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High Q = narrow, low Q = wide</w:t>
            </w:r>
          </w:p>
        </w:tc>
      </w:tr>
      <w:tr>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Converged map</w:t>
            </w:r>
          </w:p>
        </w:tc>
        <w:tc>
          <w:tcPr>
            <w:tcW w:type="dxa" w:w="3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Solution manifold M</w:t>
            </w:r>
          </w:p>
        </w:tc>
        <w:tc>
          <w:tcPr>
            <w:tcW w:type="dxa" w:w="39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Topography encoding drift structure</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The key HUF-specific modification: </w:t>
      </w:r>
      <w:r>
        <w:rPr>
          <w:rFonts w:ascii="Times New Roman" w:cs="Times New Roman" w:eastAsia="Times New Roman" w:hAnsi="Times New Roman"/>
          <w:color w:val="333333"/>
          <w:sz w:val="22"/>
          <w:szCs w:val="22"/>
        </w:rPr>
        <w:t xml:space="preserve">the learning rate is modulated by MDG (Monitoring Drift Gain). When drift is large, the map adapts quickly (high learning rate) to track the moving system. When drift is small, the map stabilizes (low learning rate), preserving established structure. This ties the self-organization directly to HUF monitoring signals rather than relying on arbitrary learning schedules.</w:t>
      </w:r>
    </w:p>
    <w:p>
      <w:pPr>
        <w:spacing w:after="160"/>
        <w:jc w:val="both"/>
      </w:pPr>
      <w:r>
        <w:rPr>
          <w:rFonts w:ascii="Times New Roman" w:cs="Times New Roman" w:eastAsia="Times New Roman" w:hAnsi="Times New Roman"/>
          <w:b/>
          <w:bCs/>
          <w:color w:val="2E75B6"/>
          <w:sz w:val="22"/>
          <w:szCs w:val="22"/>
        </w:rPr>
        <w:t xml:space="preserve">[CONJECTURE] </w:t>
      </w:r>
      <w:r>
        <w:rPr>
          <w:rFonts w:ascii="Times New Roman" w:cs="Times New Roman" w:eastAsia="Times New Roman" w:hAnsi="Times New Roman"/>
          <w:color w:val="333333"/>
          <w:sz w:val="22"/>
          <w:szCs w:val="22"/>
        </w:rPr>
        <w:t xml:space="preserve">The HUF-SOM minimizes a drift energy functional: E = Σ_t d_A(ρ(t), w_c(t))^2 + regularization. The regularization term penalizes excessive curvature in the manifold (preventing overfitting to noise) and concentration (preventing component collapse). The converged map provides the monitoring structure as an emergent property of the data, not an imposed template.</w:t>
      </w:r>
    </w:p>
    <w:p>
      <w:pPr>
        <w:pStyle w:val="Heading2"/>
        <w:spacing w:after="160" w:before="280"/>
      </w:pPr>
      <w:r>
        <w:rPr>
          <w:rFonts w:ascii="Times New Roman" w:cs="Times New Roman" w:eastAsia="Times New Roman" w:hAnsi="Times New Roman"/>
          <w:b/>
          <w:bCs/>
          <w:color w:val="1F3864"/>
          <w:sz w:val="24"/>
          <w:szCs w:val="24"/>
        </w:rPr>
        <w:t xml:space="preserve">4.3 What This Means Operationally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SOM interpretation resolves the template problem that has been implicit in HUF deployment discussions. When approaching a new domain (such as Ramsar wetlands), the practitioner does not need to pre-specify the number of monitoring categories, the sensitivity structure, or the resolution level. Instead:</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Initialize </w:t>
      </w:r>
      <w:r>
        <w:rPr>
          <w:rFonts w:ascii="Times New Roman" w:cs="Times New Roman" w:eastAsia="Times New Roman" w:hAnsi="Times New Roman"/>
          <w:color w:val="333333"/>
          <w:sz w:val="22"/>
          <w:szCs w:val="22"/>
        </w:rPr>
        <w:t xml:space="preserve">a small number of Q-nodes on the simplex (even randomly).</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Feed data: </w:t>
      </w:r>
      <w:r>
        <w:rPr>
          <w:rFonts w:ascii="Times New Roman" w:cs="Times New Roman" w:eastAsia="Times New Roman" w:hAnsi="Times New Roman"/>
          <w:color w:val="333333"/>
          <w:sz w:val="22"/>
          <w:szCs w:val="22"/>
        </w:rPr>
        <w:t xml:space="preserve">ratio portfolio samples from the system being monitored.</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Self-organization: </w:t>
      </w:r>
      <w:r>
        <w:rPr>
          <w:rFonts w:ascii="Times New Roman" w:cs="Times New Roman" w:eastAsia="Times New Roman" w:hAnsi="Times New Roman"/>
          <w:color w:val="333333"/>
          <w:sz w:val="22"/>
          <w:szCs w:val="22"/>
        </w:rPr>
        <w:t xml:space="preserve">Q-nodes migrate toward data concentrations, with MDG modulating adaptation speed.</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Emergent structure: </w:t>
      </w:r>
      <w:r>
        <w:rPr>
          <w:rFonts w:ascii="Times New Roman" w:cs="Times New Roman" w:eastAsia="Times New Roman" w:hAnsi="Times New Roman"/>
          <w:color w:val="333333"/>
          <w:sz w:val="22"/>
          <w:szCs w:val="22"/>
        </w:rPr>
        <w:t xml:space="preserve">the resulting node positions and connections reveal the natural monitoring geometry of the system.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data provides the question. The topography forms the answer.</w:t>
      </w:r>
    </w:p>
    <w:p>
      <w:pPr>
        <w:spacing w:after="160" w:before="80"/>
      </w:pPr>
      <w:r>
        <w:rPr>
          <w:rFonts w:ascii="Times New Roman" w:cs="Times New Roman" w:eastAsia="Times New Roman" w:hAnsi="Times New Roman"/>
          <w:i/>
          <w:iCs/>
          <w:color w:val="2E75B6"/>
          <w:sz w:val="20"/>
          <w:szCs w:val="20"/>
        </w:rPr>
        <w:t xml:space="preserve">▶ See: HUF Fourth Category v2.6 (MDG as drift metric); Kohonen, T. (1982) Self-organized formation of topologically correct feature maps</w:t>
      </w:r>
    </w:p>
    <w:p>
      <w:r>
        <w:br w:type="page"/>
      </w:r>
    </w:p>
    <w:p>
      <w:pPr>
        <w:pStyle w:val="Heading1"/>
        <w:spacing w:after="200" w:before="360"/>
      </w:pPr>
      <w:r>
        <w:rPr>
          <w:rFonts w:ascii="Times New Roman" w:cs="Times New Roman" w:eastAsia="Times New Roman" w:hAnsi="Times New Roman"/>
          <w:b/>
          <w:bCs/>
          <w:color w:val="1F3864"/>
          <w:sz w:val="28"/>
          <w:szCs w:val="28"/>
        </w:rPr>
        <w:t xml:space="preserve">5. Mixed-Geometry Hierarchical Structure</w:t>
      </w:r>
    </w:p>
    <w:p>
      <w:pPr>
        <w:pStyle w:val="Heading2"/>
        <w:spacing w:after="160" w:before="280"/>
      </w:pPr>
      <w:r>
        <w:rPr>
          <w:rFonts w:ascii="Times New Roman" w:cs="Times New Roman" w:eastAsia="Times New Roman" w:hAnsi="Times New Roman"/>
          <w:b/>
          <w:bCs/>
          <w:color w:val="1F3864"/>
          <w:sz w:val="24"/>
          <w:szCs w:val="24"/>
        </w:rPr>
        <w:t xml:space="preserve">5.1 The Multi-Scale Problem</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Real monitoring systems operate at multiple scales simultaneously. A Ramsar site ranger monitors local hydrology. A regional office monitors clusters of sites. The global Secretariat monitors the entire network of 2,571 sites. Each level requires different resolution and produces different numbers of "answers." A single flat manifold cannot efficiently serve all scales.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conjecture proposes a mixed-geometry hierarchy where different geometric structures operate at each scale, conjoined through boundary maps that preserve unity.</w:t>
      </w:r>
    </w:p>
    <w:p>
      <w:pPr>
        <w:pStyle w:val="Heading2"/>
        <w:spacing w:after="160" w:before="280"/>
      </w:pPr>
      <w:r>
        <w:rPr>
          <w:rFonts w:ascii="Times New Roman" w:cs="Times New Roman" w:eastAsia="Times New Roman" w:hAnsi="Times New Roman"/>
          <w:b/>
          <w:bCs/>
          <w:color w:val="1F3864"/>
          <w:sz w:val="24"/>
          <w:szCs w:val="24"/>
        </w:rPr>
        <w:t xml:space="preserve">5.2 Three-Level Architecture</w:t>
      </w:r>
    </w:p>
    <w:p>
      <w:pPr>
        <w:spacing w:after="120" w:before="200"/>
      </w:pPr>
      <w:r>
        <w:rPr>
          <w:rFonts w:ascii="Times New Roman" w:cs="Times New Roman" w:eastAsia="Times New Roman" w:hAnsi="Times New Roman"/>
          <w:b/>
          <w:bCs/>
          <w:i/>
          <w:iCs/>
          <w:color w:val="333333"/>
          <w:sz w:val="22"/>
          <w:szCs w:val="22"/>
        </w:rPr>
        <w:t xml:space="preserve">Level 1: Local (1-Node Fuel Gauge)</w:t>
      </w:r>
    </w:p>
    <w:p>
      <w:pPr>
        <w:spacing w:after="160"/>
        <w:jc w:val="both"/>
      </w:pPr>
      <w:r>
        <w:rPr>
          <w:rFonts w:ascii="Times New Roman" w:cs="Times New Roman" w:eastAsia="Times New Roman" w:hAnsi="Times New Roman"/>
          <w:b/>
          <w:bCs/>
          <w:color w:val="333333"/>
          <w:sz w:val="22"/>
          <w:szCs w:val="22"/>
        </w:rPr>
        <w:t xml:space="preserve">Geometry: </w:t>
      </w:r>
      <w:r>
        <w:rPr>
          <w:rFonts w:ascii="Times New Roman" w:cs="Times New Roman" w:eastAsia="Times New Roman" w:hAnsi="Times New Roman"/>
          <w:color w:val="333333"/>
          <w:sz w:val="22"/>
          <w:szCs w:val="22"/>
        </w:rPr>
        <w:t xml:space="preserve">0-simplex (point) with self-loop. A single Q-node connected to a single HUF system, producing one answer: a scalar drift reading (e.g., MDG for one wetland site). This is the simplest possible HUF deployment, analogous to a fuel gauge. The operator sees a single number indicating system health.</w:t>
      </w:r>
    </w:p>
    <w:p>
      <w:pPr>
        <w:spacing w:after="160"/>
        <w:jc w:val="both"/>
      </w:pPr>
      <w:r>
        <w:rPr>
          <w:rFonts w:ascii="Times New Roman" w:cs="Times New Roman" w:eastAsia="Times New Roman" w:hAnsi="Times New Roman"/>
          <w:b/>
          <w:bCs/>
          <w:color w:val="333333"/>
          <w:sz w:val="22"/>
          <w:szCs w:val="22"/>
        </w:rPr>
        <w:t xml:space="preserve">Graph: </w:t>
      </w:r>
      <w:r>
        <w:rPr>
          <w:rFonts w:ascii="Times New Roman" w:cs="Times New Roman" w:eastAsia="Times New Roman" w:hAnsi="Times New Roman"/>
          <w:color w:val="333333"/>
          <w:sz w:val="22"/>
          <w:szCs w:val="22"/>
        </w:rPr>
        <w:t xml:space="preserve">G_local = (V = {q}, E = {(q,q)}). One vertex, one self-loop. H_1 = 1 (one cycle). For a fleet of n independent locals: disjoint union with H_0 = n connected components.</w:t>
      </w:r>
    </w:p>
    <w:p>
      <w:pPr>
        <w:spacing w:after="120" w:before="200"/>
      </w:pPr>
      <w:r>
        <w:rPr>
          <w:rFonts w:ascii="Times New Roman" w:cs="Times New Roman" w:eastAsia="Times New Roman" w:hAnsi="Times New Roman"/>
          <w:b/>
          <w:bCs/>
          <w:i/>
          <w:iCs/>
          <w:color w:val="333333"/>
          <w:sz w:val="22"/>
          <w:szCs w:val="22"/>
        </w:rPr>
        <w:t xml:space="preserve">Level 2: Office (Few-Node Grid)</w:t>
      </w:r>
    </w:p>
    <w:p>
      <w:pPr>
        <w:spacing w:after="160"/>
        <w:jc w:val="both"/>
      </w:pPr>
      <w:r>
        <w:rPr>
          <w:rFonts w:ascii="Times New Roman" w:cs="Times New Roman" w:eastAsia="Times New Roman" w:hAnsi="Times New Roman"/>
          <w:b/>
          <w:bCs/>
          <w:color w:val="333333"/>
          <w:sz w:val="22"/>
          <w:szCs w:val="22"/>
        </w:rPr>
        <w:t xml:space="preserve">Geometry: </w:t>
      </w:r>
      <w:r>
        <w:rPr>
          <w:rFonts w:ascii="Times New Roman" w:cs="Times New Roman" w:eastAsia="Times New Roman" w:hAnsi="Times New Roman"/>
          <w:color w:val="333333"/>
          <w:sz w:val="22"/>
          <w:szCs w:val="22"/>
        </w:rPr>
        <w:t xml:space="preserve">1D or 2D grid graph (m nodes, m = 2-5). Multiple Q-nodes connected in a lattice, each providing a localized sensitivity view. Manages multiple local units by aggregating their readings into a small number of perspectives. Produces few answers (e.g., 4 regional views of wetland health).</w:t>
      </w:r>
    </w:p>
    <w:p>
      <w:pPr>
        <w:spacing w:after="160"/>
        <w:jc w:val="both"/>
      </w:pPr>
      <w:r>
        <w:rPr>
          <w:rFonts w:ascii="Times New Roman" w:cs="Times New Roman" w:eastAsia="Times New Roman" w:hAnsi="Times New Roman"/>
          <w:b/>
          <w:bCs/>
          <w:color w:val="333333"/>
          <w:sz w:val="22"/>
          <w:szCs w:val="22"/>
        </w:rPr>
        <w:t xml:space="preserve">Graph: </w:t>
      </w:r>
      <w:r>
        <w:rPr>
          <w:rFonts w:ascii="Times New Roman" w:cs="Times New Roman" w:eastAsia="Times New Roman" w:hAnsi="Times New Roman"/>
          <w:color w:val="333333"/>
          <w:sz w:val="22"/>
          <w:szCs w:val="22"/>
        </w:rPr>
        <w:t xml:space="preserve">G_office = Z^2 lattice (e.g., 2x2 grid). Local units embed as boundary vertices via graph product. The office geometry is richer than local (surfaces, not just points) but still low-dimensional.</w:t>
      </w:r>
    </w:p>
    <w:p>
      <w:pPr>
        <w:spacing w:after="120" w:before="200"/>
      </w:pPr>
      <w:r>
        <w:rPr>
          <w:rFonts w:ascii="Times New Roman" w:cs="Times New Roman" w:eastAsia="Times New Roman" w:hAnsi="Times New Roman"/>
          <w:b/>
          <w:bCs/>
          <w:i/>
          <w:iCs/>
          <w:color w:val="333333"/>
          <w:sz w:val="22"/>
          <w:szCs w:val="22"/>
        </w:rPr>
        <w:t xml:space="preserve">Level 3: Corporate (High-Node Manifold)</w:t>
      </w:r>
    </w:p>
    <w:p>
      <w:pPr>
        <w:spacing w:after="160"/>
        <w:jc w:val="both"/>
      </w:pPr>
      <w:r>
        <w:rPr>
          <w:rFonts w:ascii="Times New Roman" w:cs="Times New Roman" w:eastAsia="Times New Roman" w:hAnsi="Times New Roman"/>
          <w:b/>
          <w:bCs/>
          <w:color w:val="333333"/>
          <w:sz w:val="22"/>
          <w:szCs w:val="22"/>
        </w:rPr>
        <w:t xml:space="preserve">Geometry: </w:t>
      </w:r>
      <w:r>
        <w:rPr>
          <w:rFonts w:ascii="Times New Roman" w:cs="Times New Roman" w:eastAsia="Times New Roman" w:hAnsi="Times New Roman"/>
          <w:color w:val="333333"/>
          <w:sz w:val="22"/>
          <w:szCs w:val="22"/>
        </w:rPr>
        <w:t xml:space="preserve">Smooth manifold discretized by n = 100-500 Q-nodes. Approximated via Delaunay triangulation or SOM grid. Provides hundreds of answers: detailed, multi-perspective views of the entire system. Nodes distribute densely in high-drift regions (adaptive resolution) and sparsely in stable regions (computational efficiency).</w:t>
      </w:r>
    </w:p>
    <w:p>
      <w:pPr>
        <w:spacing w:after="160"/>
        <w:jc w:val="both"/>
      </w:pPr>
      <w:r>
        <w:rPr>
          <w:rFonts w:ascii="Times New Roman" w:cs="Times New Roman" w:eastAsia="Times New Roman" w:hAnsi="Times New Roman"/>
          <w:b/>
          <w:bCs/>
          <w:color w:val="333333"/>
          <w:sz w:val="22"/>
          <w:szCs w:val="22"/>
        </w:rPr>
        <w:t xml:space="preserve">Manifold: </w:t>
      </w:r>
      <w:r>
        <w:rPr>
          <w:rFonts w:ascii="Times New Roman" w:cs="Times New Roman" w:eastAsia="Times New Roman" w:hAnsi="Times New Roman"/>
          <w:color w:val="333333"/>
          <w:sz w:val="22"/>
          <w:szCs w:val="22"/>
        </w:rPr>
        <w:t xml:space="preserve">M approximated by G_corp = (V, E) with |V| = n. The manifold can be Euclidean (flat systems) or hyperbolic (hierarchical branching systems). For Ramsar, hyperbolic geometry may be natural because the network branches hierarchically from global to regional to site.</w:t>
      </w:r>
    </w:p>
    <w:p>
      <w:pPr>
        <w:pStyle w:val="Heading2"/>
        <w:spacing w:after="160" w:before="280"/>
      </w:pPr>
      <w:r>
        <w:rPr>
          <w:rFonts w:ascii="Times New Roman" w:cs="Times New Roman" w:eastAsia="Times New Roman" w:hAnsi="Times New Roman"/>
          <w:b/>
          <w:bCs/>
          <w:color w:val="1F3864"/>
          <w:sz w:val="24"/>
          <w:szCs w:val="24"/>
        </w:rPr>
        <w:t xml:space="preserve">5.3 Conjoining via CW-Complex Attachment</w:t>
      </w:r>
    </w:p>
    <w:p>
      <w:pPr>
        <w:spacing w:after="160"/>
        <w:jc w:val="both"/>
      </w:pPr>
      <w:r>
        <w:rPr>
          <w:rFonts w:ascii="Times New Roman" w:cs="Times New Roman" w:eastAsia="Times New Roman" w:hAnsi="Times New Roman"/>
          <w:b/>
          <w:bCs/>
          <w:color w:val="2E75B6"/>
          <w:sz w:val="22"/>
          <w:szCs w:val="22"/>
        </w:rPr>
        <w:t xml:space="preserve">[CONJECTURE] </w:t>
      </w:r>
      <w:r>
        <w:rPr>
          <w:rFonts w:ascii="Times New Roman" w:cs="Times New Roman" w:eastAsia="Times New Roman" w:hAnsi="Times New Roman"/>
          <w:color w:val="333333"/>
          <w:sz w:val="22"/>
          <w:szCs w:val="22"/>
        </w:rPr>
        <w:t xml:space="preserve">The three levels conjoin into a stratified space through CW-complex (cell complex) attachment, where lower-dimensional structures glue to higher-dimensional ones via boundary maps.</w:t>
      </w:r>
    </w:p>
    <w:p>
      <w:pPr>
        <w:spacing w:after="160"/>
        <w:jc w:val="both"/>
      </w:pPr>
      <w:r>
        <w:rPr>
          <w:rFonts w:ascii="Times New Roman" w:cs="Times New Roman" w:eastAsia="Times New Roman" w:hAnsi="Times New Roman"/>
          <w:b/>
          <w:bCs/>
          <w:color w:val="333333"/>
          <w:sz w:val="22"/>
          <w:szCs w:val="22"/>
        </w:rPr>
        <w:t xml:space="preserve">Definition. </w:t>
      </w:r>
      <w:r>
        <w:rPr>
          <w:rFonts w:ascii="Times New Roman" w:cs="Times New Roman" w:eastAsia="Times New Roman" w:hAnsi="Times New Roman"/>
          <w:color w:val="333333"/>
          <w:sz w:val="22"/>
          <w:szCs w:val="22"/>
        </w:rPr>
        <w:t xml:space="preserve">The conjoined HUF structure S is the quotient space:</w:t>
      </w:r>
    </w:p>
    <w:p>
      <w:pPr>
        <w:spacing w:after="120" w:before="120"/>
        <w:ind w:left="720" w:right="720"/>
        <w:jc w:val="center"/>
      </w:pPr>
      <w:r>
        <w:rPr>
          <w:rFonts w:ascii="Consolas" w:cs="Consolas" w:eastAsia="Consolas" w:hAnsi="Consolas"/>
          <w:color w:val="333333"/>
          <w:sz w:val="21"/>
          <w:szCs w:val="21"/>
        </w:rPr>
        <w:t xml:space="preserve">S = ⨆_l  G_l  /  ~</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where ~ identifies boundary points of level l with interior points of level l+1 via gluing maps that preserve the unity constraint. Formally, for levels l and l+1, the gluing map φ: ∂G_l → G_{l+1} takes local ratio allocations (summing to 1) and maps them to sub-portfolios within the higher level (maintaining normalization).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resulting CW-complex has cells of increasing dimension:</w:t>
      </w:r>
    </w:p>
    <w:p>
      <w:pPr>
        <w:pStyle w:val="ListParagraph"/>
        <w:numPr>
          <w:ilvl w:val="0"/>
          <w:numId w:val="3"/>
        </w:numPr>
        <w:spacing w:after="80"/>
      </w:pPr>
      <w:r>
        <w:rPr>
          <w:rFonts w:ascii="Times New Roman" w:cs="Times New Roman" w:eastAsia="Times New Roman" w:hAnsi="Times New Roman"/>
          <w:b/>
          <w:bCs/>
          <w:color w:val="333333"/>
          <w:sz w:val="22"/>
          <w:szCs w:val="22"/>
        </w:rPr>
        <w:t xml:space="preserve">0-cells: </w:t>
      </w:r>
      <w:r>
        <w:rPr>
          <w:rFonts w:ascii="Times New Roman" w:cs="Times New Roman" w:eastAsia="Times New Roman" w:hAnsi="Times New Roman"/>
          <w:color w:val="333333"/>
          <w:sz w:val="22"/>
          <w:szCs w:val="22"/>
        </w:rPr>
        <w:t xml:space="preserve">Q-nodes (vertices at all levels)</w:t>
      </w:r>
    </w:p>
    <w:p>
      <w:pPr>
        <w:pStyle w:val="ListParagraph"/>
        <w:numPr>
          <w:ilvl w:val="0"/>
          <w:numId w:val="3"/>
        </w:numPr>
        <w:spacing w:after="80"/>
      </w:pPr>
      <w:r>
        <w:rPr>
          <w:rFonts w:ascii="Times New Roman" w:cs="Times New Roman" w:eastAsia="Times New Roman" w:hAnsi="Times New Roman"/>
          <w:b/>
          <w:bCs/>
          <w:color w:val="333333"/>
          <w:sz w:val="22"/>
          <w:szCs w:val="22"/>
        </w:rPr>
        <w:t xml:space="preserve">1-cells: </w:t>
      </w:r>
      <w:r>
        <w:rPr>
          <w:rFonts w:ascii="Times New Roman" w:cs="Times New Roman" w:eastAsia="Times New Roman" w:hAnsi="Times New Roman"/>
          <w:color w:val="333333"/>
          <w:sz w:val="22"/>
          <w:szCs w:val="22"/>
        </w:rPr>
        <w:t xml:space="preserve">Edges and loops (local connections, monitoring links)</w:t>
      </w:r>
    </w:p>
    <w:p>
      <w:pPr>
        <w:pStyle w:val="ListParagraph"/>
        <w:numPr>
          <w:ilvl w:val="0"/>
          <w:numId w:val="3"/>
        </w:numPr>
        <w:spacing w:after="80"/>
      </w:pPr>
      <w:r>
        <w:rPr>
          <w:rFonts w:ascii="Times New Roman" w:cs="Times New Roman" w:eastAsia="Times New Roman" w:hAnsi="Times New Roman"/>
          <w:b/>
          <w:bCs/>
          <w:color w:val="333333"/>
          <w:sz w:val="22"/>
          <w:szCs w:val="22"/>
        </w:rPr>
        <w:t xml:space="preserve">2-cells: </w:t>
      </w:r>
      <w:r>
        <w:rPr>
          <w:rFonts w:ascii="Times New Roman" w:cs="Times New Roman" w:eastAsia="Times New Roman" w:hAnsi="Times New Roman"/>
          <w:color w:val="333333"/>
          <w:sz w:val="22"/>
          <w:szCs w:val="22"/>
        </w:rPr>
        <w:t xml:space="preserve">Faces (triad monitoring surfaces at office level)</w:t>
      </w:r>
    </w:p>
    <w:p>
      <w:pPr>
        <w:pStyle w:val="ListParagraph"/>
        <w:numPr>
          <w:ilvl w:val="0"/>
          <w:numId w:val="3"/>
        </w:numPr>
        <w:spacing w:after="80"/>
      </w:pPr>
      <w:r>
        <w:rPr>
          <w:rFonts w:ascii="Times New Roman" w:cs="Times New Roman" w:eastAsia="Times New Roman" w:hAnsi="Times New Roman"/>
          <w:b/>
          <w:bCs/>
          <w:color w:val="333333"/>
          <w:sz w:val="22"/>
          <w:szCs w:val="22"/>
        </w:rPr>
        <w:t xml:space="preserve">3-cells: </w:t>
      </w:r>
      <w:r>
        <w:rPr>
          <w:rFonts w:ascii="Times New Roman" w:cs="Times New Roman" w:eastAsia="Times New Roman" w:hAnsi="Times New Roman"/>
          <w:color w:val="333333"/>
          <w:sz w:val="22"/>
          <w:szCs w:val="22"/>
        </w:rPr>
        <w:t xml:space="preserve">Volumes (enclosed corporate manifold regions)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homology of S captures structural features: H_0 counts connected components, H_1 counts independent cycles (persistent monitoring loops), H_2 counts enclosed voids (office-level surfaces), H_3 counts enclosed volumes (corporate-level bulk). These are topological invariants of the monitoring structure itself, not of the data.</w:t>
      </w:r>
    </w:p>
    <w:p>
      <w:pPr>
        <w:pStyle w:val="Heading2"/>
        <w:spacing w:after="160" w:before="280"/>
      </w:pPr>
      <w:r>
        <w:rPr>
          <w:rFonts w:ascii="Times New Roman" w:cs="Times New Roman" w:eastAsia="Times New Roman" w:hAnsi="Times New Roman"/>
          <w:b/>
          <w:bCs/>
          <w:color w:val="1F3864"/>
          <w:sz w:val="24"/>
          <w:szCs w:val="24"/>
        </w:rPr>
        <w:t xml:space="preserve">5.4 Scaling: When They Want More Answers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hierarchy scales by adding Q-nodes where MDG signals unresolved drifts. The distribution follows a density proportional to local variance: high-drift regions receive more nodes (finer resolution), stable regions remain sparse (no wasted computation). This is analogous to adaptive mesh refinement in partial differential equations.</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progression: start with 1 node (fuel gauge). Data arrives. Add nodes where MDG exceeds threshold. The manifold grows organically from the data, never imposing resolution where the system does not demand it. Computational complexity remains O(n log n) per update epoch for SOM-based training.</w:t>
      </w:r>
    </w:p>
    <w:p>
      <w:pPr>
        <w:spacing w:after="160" w:before="80"/>
      </w:pPr>
      <w:r>
        <w:rPr>
          <w:rFonts w:ascii="Times New Roman" w:cs="Times New Roman" w:eastAsia="Times New Roman" w:hAnsi="Times New Roman"/>
          <w:i/>
          <w:iCs/>
          <w:color w:val="2E75B6"/>
          <w:sz w:val="20"/>
          <w:szCs w:val="20"/>
        </w:rPr>
        <w:t xml:space="preserve">▶ See: Thom-Mather stratification theory; Gromov-Hausdorff convergence of metric spaces</w:t>
      </w:r>
    </w:p>
    <w:p>
      <w:r>
        <w:br w:type="page"/>
      </w:r>
    </w:p>
    <w:p>
      <w:pPr>
        <w:pStyle w:val="Heading1"/>
        <w:spacing w:after="200" w:before="360"/>
      </w:pPr>
      <w:r>
        <w:rPr>
          <w:rFonts w:ascii="Times New Roman" w:cs="Times New Roman" w:eastAsia="Times New Roman" w:hAnsi="Times New Roman"/>
          <w:b/>
          <w:bCs/>
          <w:color w:val="1F3864"/>
          <w:sz w:val="28"/>
          <w:szCs w:val="28"/>
        </w:rPr>
        <w:t xml:space="preserve">6. The Induced Manifold</w:t>
      </w:r>
    </w:p>
    <w:p>
      <w:pPr>
        <w:pStyle w:val="Heading2"/>
        <w:spacing w:after="160" w:before="280"/>
      </w:pPr>
      <w:r>
        <w:rPr>
          <w:rFonts w:ascii="Times New Roman" w:cs="Times New Roman" w:eastAsia="Times New Roman" w:hAnsi="Times New Roman"/>
          <w:b/>
          <w:bCs/>
          <w:color w:val="1F3864"/>
          <w:sz w:val="24"/>
          <w:szCs w:val="24"/>
        </w:rPr>
        <w:t xml:space="preserve">6.1 Riemannian Structure [CONJECTURE]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When data induces a manifold M embedded in the simplex, it inherits a Riemannian metric from the ambient Aitchison geometry. This metric provides:</w:t>
      </w:r>
    </w:p>
    <w:p>
      <w:pPr>
        <w:pStyle w:val="ListParagraph"/>
        <w:numPr>
          <w:ilvl w:val="0"/>
          <w:numId w:val="3"/>
        </w:numPr>
        <w:spacing w:after="80"/>
      </w:pPr>
      <w:r>
        <w:rPr>
          <w:rFonts w:ascii="Times New Roman" w:cs="Times New Roman" w:eastAsia="Times New Roman" w:hAnsi="Times New Roman"/>
          <w:b/>
          <w:bCs/>
          <w:color w:val="333333"/>
          <w:sz w:val="22"/>
          <w:szCs w:val="22"/>
        </w:rPr>
        <w:t xml:space="preserve">Distances: </w:t>
      </w:r>
      <w:r>
        <w:rPr>
          <w:rFonts w:ascii="Times New Roman" w:cs="Times New Roman" w:eastAsia="Times New Roman" w:hAnsi="Times New Roman"/>
          <w:color w:val="333333"/>
          <w:sz w:val="22"/>
          <w:szCs w:val="22"/>
        </w:rPr>
        <w:t xml:space="preserve">Geodesics on M give shortest-path distances between monitoring states, accounting for the curved structure of the data.</w:t>
      </w:r>
    </w:p>
    <w:p>
      <w:pPr>
        <w:pStyle w:val="ListParagraph"/>
        <w:numPr>
          <w:ilvl w:val="0"/>
          <w:numId w:val="3"/>
        </w:numPr>
        <w:spacing w:after="80"/>
      </w:pPr>
      <w:r>
        <w:rPr>
          <w:rFonts w:ascii="Times New Roman" w:cs="Times New Roman" w:eastAsia="Times New Roman" w:hAnsi="Times New Roman"/>
          <w:b/>
          <w:bCs/>
          <w:color w:val="333333"/>
          <w:sz w:val="22"/>
          <w:szCs w:val="22"/>
        </w:rPr>
        <w:t xml:space="preserve">Curvature: </w:t>
      </w:r>
      <w:r>
        <w:rPr>
          <w:rFonts w:ascii="Times New Roman" w:cs="Times New Roman" w:eastAsia="Times New Roman" w:hAnsi="Times New Roman"/>
          <w:color w:val="333333"/>
          <w:sz w:val="22"/>
          <w:szCs w:val="22"/>
        </w:rPr>
        <w:t xml:space="preserve">Scalar curvature measures local "drift density." High curvature indicates tight clustering of drift events (potential deceptive drift, FM-5). Flat regions indicate stable monitoring.</w:t>
      </w:r>
    </w:p>
    <w:p>
      <w:pPr>
        <w:pStyle w:val="ListParagraph"/>
        <w:numPr>
          <w:ilvl w:val="0"/>
          <w:numId w:val="3"/>
        </w:numPr>
        <w:spacing w:after="80"/>
      </w:pPr>
      <w:r>
        <w:rPr>
          <w:rFonts w:ascii="Times New Roman" w:cs="Times New Roman" w:eastAsia="Times New Roman" w:hAnsi="Times New Roman"/>
          <w:b/>
          <w:bCs/>
          <w:color w:val="333333"/>
          <w:sz w:val="22"/>
          <w:szCs w:val="22"/>
        </w:rPr>
        <w:t xml:space="preserve">Volume: </w:t>
      </w:r>
      <w:r>
        <w:rPr>
          <w:rFonts w:ascii="Times New Roman" w:cs="Times New Roman" w:eastAsia="Times New Roman" w:hAnsi="Times New Roman"/>
          <w:color w:val="333333"/>
          <w:sz w:val="22"/>
          <w:szCs w:val="22"/>
        </w:rPr>
        <w:t xml:space="preserve">The Riemannian volume element provides natural weighting for integration over the monitoring structure, enabling aggregate statistics that respect the manifold geometry.</w:t>
      </w:r>
    </w:p>
    <w:p>
      <w:pPr>
        <w:spacing w:after="160"/>
        <w:jc w:val="both"/>
      </w:pPr>
      <w:r>
        <w:rPr>
          <w:rFonts w:ascii="Times New Roman" w:cs="Times New Roman" w:eastAsia="Times New Roman" w:hAnsi="Times New Roman"/>
          <w:b/>
          <w:bCs/>
          <w:color w:val="2E75B6"/>
          <w:sz w:val="22"/>
          <w:szCs w:val="22"/>
        </w:rPr>
        <w:t xml:space="preserve">[CONJECTURE] </w:t>
      </w:r>
      <w:r>
        <w:rPr>
          <w:rFonts w:ascii="Times New Roman" w:cs="Times New Roman" w:eastAsia="Times New Roman" w:hAnsi="Times New Roman"/>
          <w:color w:val="333333"/>
          <w:sz w:val="22"/>
          <w:szCs w:val="22"/>
        </w:rPr>
        <w:t xml:space="preserve">The solution manifold M minimizes a distortion energy functional:</w:t>
      </w:r>
    </w:p>
    <w:p>
      <w:pPr>
        <w:spacing w:after="120" w:before="120"/>
        <w:ind w:left="720" w:right="720"/>
        <w:jc w:val="center"/>
      </w:pPr>
      <w:r>
        <w:rPr>
          <w:rFonts w:ascii="Consolas" w:cs="Consolas" w:eastAsia="Consolas" w:hAnsi="Consolas"/>
          <w:color w:val="333333"/>
          <w:sz w:val="21"/>
          <w:szCs w:val="21"/>
        </w:rPr>
        <w:t xml:space="preserve">E = ∫_M  MDG(dρ)  vol_g</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where MDG acts as local strain (drift intensity) and vol_g is the Riemannian volume form. The manifold shape that minimizes total drift energy is the optimal monitoring structure for the system. This connects HUF topography to variational principles in differential geometry.</w:t>
      </w:r>
    </w:p>
    <w:p>
      <w:pPr>
        <w:pStyle w:val="Heading2"/>
        <w:spacing w:after="160" w:before="280"/>
      </w:pPr>
      <w:r>
        <w:rPr>
          <w:rFonts w:ascii="Times New Roman" w:cs="Times New Roman" w:eastAsia="Times New Roman" w:hAnsi="Times New Roman"/>
          <w:b/>
          <w:bCs/>
          <w:color w:val="1F3864"/>
          <w:sz w:val="24"/>
          <w:szCs w:val="24"/>
        </w:rPr>
        <w:t xml:space="preserve">6.2 The Sufficiency Frontier as Manifold Boundary</w:t>
      </w:r>
    </w:p>
    <w:p>
      <w:pPr>
        <w:spacing w:after="160"/>
        <w:jc w:val="both"/>
      </w:pPr>
      <w:r>
        <w:rPr>
          <w:rFonts w:ascii="Times New Roman" w:cs="Times New Roman" w:eastAsia="Times New Roman" w:hAnsi="Times New Roman"/>
          <w:b/>
          <w:bCs/>
          <w:color w:val="2E75B6"/>
          <w:sz w:val="22"/>
          <w:szCs w:val="22"/>
        </w:rPr>
        <w:t xml:space="preserve">[ANALOGY] </w:t>
      </w:r>
      <w:r>
        <w:rPr>
          <w:rFonts w:ascii="Times New Roman" w:cs="Times New Roman" w:eastAsia="Times New Roman" w:hAnsi="Times New Roman"/>
          <w:color w:val="333333"/>
          <w:sz w:val="22"/>
          <w:szCs w:val="22"/>
        </w:rPr>
        <w:t xml:space="preserve">The Sufficiency Frontier, where HUF monitoring ceases to be valid (component reaches zero, information is lost), corresponds to the boundary ∂M of the manifold. In the simplex, this is where any ρ_i = 0. On the induced manifold, boundary points represent monitoring states where the system is approaching a structural limit. The manifold is compact (bounded and closed) because the simplex is compact and M is embedded within it.</w:t>
      </w:r>
    </w:p>
    <w:p>
      <w:r>
        <w:br w:type="page"/>
      </w:r>
    </w:p>
    <w:p>
      <w:pPr>
        <w:pStyle w:val="Heading1"/>
        <w:spacing w:after="200" w:before="360"/>
      </w:pPr>
      <w:r>
        <w:rPr>
          <w:rFonts w:ascii="Times New Roman" w:cs="Times New Roman" w:eastAsia="Times New Roman" w:hAnsi="Times New Roman"/>
          <w:b/>
          <w:bCs/>
          <w:color w:val="1F3864"/>
          <w:sz w:val="28"/>
          <w:szCs w:val="28"/>
        </w:rPr>
        <w:t xml:space="preserve">7. Operational Application: The Ramsar Case</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mixed-geometry hierarchy maps directly to Ramsar Convention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200"/>
        <w:gridCol w:w="1500"/>
        <w:gridCol w:w="2000"/>
        <w:gridCol w:w="2560"/>
      </w:tblGrid>
      <w:tr>
        <w:tc>
          <w:tcPr>
            <w:tcW w:type="dxa" w:w="11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Level</w:t>
            </w:r>
          </w:p>
        </w:tc>
        <w:tc>
          <w:tcPr>
            <w:tcW w:type="dxa" w:w="22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Ramsar Role</w:t>
            </w:r>
          </w:p>
        </w:tc>
        <w:tc>
          <w:tcPr>
            <w:tcW w:type="dxa" w:w="1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Nodes</w:t>
            </w:r>
          </w:p>
        </w:tc>
        <w:tc>
          <w:tcPr>
            <w:tcW w:type="dxa" w:w="20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Geometry</w:t>
            </w:r>
          </w:p>
        </w:tc>
        <w:tc>
          <w:tcPr>
            <w:tcW w:type="dxa" w:w="25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Answers</w:t>
            </w:r>
          </w:p>
        </w:tc>
      </w:tr>
      <w:tr>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Local</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Site ranger / manager</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 per site</w:t>
            </w:r>
          </w:p>
        </w:tc>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0D point + loop</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Single MDG gauge</w:t>
            </w:r>
          </w:p>
        </w:tc>
      </w:tr>
      <w:tr>
        <w:tc>
          <w:tcPr>
            <w:tcW w:type="dxa" w:w="11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Office</w:t>
            </w:r>
          </w:p>
        </w:tc>
        <w:tc>
          <w:tcPr>
            <w:tcW w:type="dxa" w:w="22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Regional authority</w:t>
            </w:r>
          </w:p>
        </w:tc>
        <w:tc>
          <w:tcPr>
            <w:tcW w:type="dxa" w:w="1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3-10 per region</w:t>
            </w:r>
          </w:p>
        </w:tc>
        <w:tc>
          <w:tcPr>
            <w:tcW w:type="dxa" w:w="20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2D grid</w:t>
            </w:r>
          </w:p>
        </w:tc>
        <w:tc>
          <w:tcPr>
            <w:tcW w:type="dxa" w:w="25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Regional cluster views</w:t>
            </w:r>
          </w:p>
        </w:tc>
      </w:tr>
      <w:tr>
        <w:tc>
          <w:tcPr>
            <w:tcW w:type="dxa" w:w="11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Corporate</w:t>
            </w:r>
          </w:p>
        </w:tc>
        <w:tc>
          <w:tcPr>
            <w:tcW w:type="dxa" w:w="22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Ramsar Secretariat</w:t>
            </w:r>
          </w:p>
        </w:tc>
        <w:tc>
          <w:tcPr>
            <w:tcW w:type="dxa" w:w="1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100-500 global</w:t>
            </w:r>
          </w:p>
        </w:tc>
        <w:tc>
          <w:tcPr>
            <w:tcW w:type="dxa" w:w="20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3D+ manifold</w:t>
            </w:r>
          </w:p>
        </w:tc>
        <w:tc>
          <w:tcPr>
            <w:tcW w:type="dxa" w:w="25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Transboundary insights</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The critical advantage: </w:t>
      </w:r>
      <w:r>
        <w:rPr>
          <w:rFonts w:ascii="Times New Roman" w:cs="Times New Roman" w:eastAsia="Times New Roman" w:hAnsi="Times New Roman"/>
          <w:color w:val="333333"/>
          <w:sz w:val="22"/>
          <w:szCs w:val="22"/>
        </w:rPr>
        <w:t xml:space="preserve">a site ranger does not need to understand manifold geometry. They see a fuel gauge. A regional director sees a few clustered views. The Secretariat sees the full topographic structure. Each level receives exactly the resolution it needs, and the mathematical framework connecting them is invisible to the operator while remaining rigorous underneath.</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For sister-site exchange (e.g., Mer Bleue peatlands in Canada and Crna Mlaka floodplains in Croatia), the conjoined manifold provides a shared mathematical object. Both sites contribute local Q-nodes that glue into a shared regional office surface. Differences in drift profiles (carbon loss in Mer Bleue, threat accumulation in Crna Mlaka) appear as curvature differences on the shared manifold. Joint action items emerge from the geometry without translation barriers.</w:t>
      </w:r>
    </w:p>
    <w:p>
      <w:pPr>
        <w:spacing w:after="160" w:before="80"/>
      </w:pPr>
      <w:r>
        <w:rPr>
          <w:rFonts w:ascii="Times New Roman" w:cs="Times New Roman" w:eastAsia="Times New Roman" w:hAnsi="Times New Roman"/>
          <w:i/>
          <w:iCs/>
          <w:color w:val="2E75B6"/>
          <w:sz w:val="20"/>
          <w:szCs w:val="20"/>
        </w:rPr>
        <w:t xml:space="preserve">▶ See: HUF Vol 4 (Ramsar Croatia Partner Package v3.0); Article 3.2 (Transboundary notification)</w:t>
      </w:r>
    </w:p>
    <w:p>
      <w:r>
        <w:br w:type="page"/>
      </w:r>
    </w:p>
    <w:p>
      <w:pPr>
        <w:pStyle w:val="Heading1"/>
        <w:spacing w:after="200" w:before="360"/>
      </w:pPr>
      <w:r>
        <w:rPr>
          <w:rFonts w:ascii="Times New Roman" w:cs="Times New Roman" w:eastAsia="Times New Roman" w:hAnsi="Times New Roman"/>
          <w:b/>
          <w:bCs/>
          <w:color w:val="1F3864"/>
          <w:sz w:val="28"/>
          <w:szCs w:val="28"/>
        </w:rPr>
        <w:t xml:space="preserve">8. Evidentiary Status and Open Questions</w:t>
      </w:r>
    </w:p>
    <w:p>
      <w:pPr>
        <w:pStyle w:val="Heading2"/>
        <w:spacing w:after="160" w:before="280"/>
      </w:pPr>
      <w:r>
        <w:rPr>
          <w:rFonts w:ascii="Times New Roman" w:cs="Times New Roman" w:eastAsia="Times New Roman" w:hAnsi="Times New Roman"/>
          <w:b/>
          <w:bCs/>
          <w:color w:val="1F3864"/>
          <w:sz w:val="24"/>
          <w:szCs w:val="24"/>
        </w:rPr>
        <w:t xml:space="preserve">8.1 Claim Classification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060"/>
      </w:tblGrid>
      <w:tr>
        <w:tc>
          <w:tcPr>
            <w:tcW w:type="dxa" w:w="35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Claim</w:t>
            </w:r>
          </w:p>
        </w:tc>
        <w:tc>
          <w:tcPr>
            <w:tcW w:type="dxa" w:w="180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Tier</w:t>
            </w:r>
          </w:p>
        </w:tc>
        <w:tc>
          <w:tcPr>
            <w:tcW w:type="dxa" w:w="4060"/>
            <w:tcBorders>
              <w:top w:val="single" w:color="BBBBBB" w:sz="1"/>
              <w:left w:val="single" w:color="BBBBBB" w:sz="1"/>
              <w:bottom w:val="single" w:color="BBBBBB" w:sz="1"/>
              <w:right w:val="single" w:color="BBBBBB" w:sz="1"/>
            </w:tcBorders>
            <w:shd w:fill="1F3864" w:val="clear"/>
            <w:tcMar>
              <w:top w:type="dxa" w:w="60"/>
              <w:left w:type="dxa" w:w="100"/>
              <w:bottom w:type="dxa" w:w="60"/>
              <w:right w:type="dxa" w:w="100"/>
            </w:tcMar>
          </w:tcPr>
          <w:p>
            <w:pPr>
              <w:jc w:val="center"/>
            </w:pPr>
            <w:r>
              <w:rPr>
                <w:rFonts w:ascii="Times New Roman" w:cs="Times New Roman" w:eastAsia="Times New Roman" w:hAnsi="Times New Roman"/>
                <w:b/>
                <w:bCs/>
                <w:color w:val="FFFFFF"/>
                <w:sz w:val="20"/>
                <w:szCs w:val="20"/>
              </w:rPr>
              <w:t xml:space="preserve">Status</w:t>
            </w:r>
          </w:p>
        </w:tc>
      </w:tr>
      <w:tr>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Simplex as geometric ambient space</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[THEOREM]</w:t>
            </w:r>
          </w:p>
        </w:tc>
        <w:tc>
          <w:tcPr>
            <w:tcW w:type="dxa" w:w="4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Established (compositional data analysis)</w:t>
            </w:r>
          </w:p>
        </w:tc>
      </w:tr>
      <w:tr>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Aitchison metric and CLR isometry</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[THEOREM]</w:t>
            </w:r>
          </w:p>
        </w:tc>
        <w:tc>
          <w:tcPr>
            <w:tcW w:type="dxa" w:w="4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Established (Aitchison, 1986)</w:t>
            </w:r>
          </w:p>
        </w:tc>
      </w:tr>
      <w:tr>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SOM convergence and topology preservation</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[THEOREM]</w:t>
            </w:r>
          </w:p>
        </w:tc>
        <w:tc>
          <w:tcPr>
            <w:tcW w:type="dxa" w:w="4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Established (Kohonen, 1982; Ritter et al., 1992)</w:t>
            </w:r>
          </w:p>
        </w:tc>
      </w:tr>
      <w:tr>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Q-nodes as manifold discretization</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4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Mathematically consistent, untested on HUF data</w:t>
            </w:r>
          </w:p>
        </w:tc>
      </w:tr>
      <w:tr>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MDG-modulated learning rate</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4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Novel HUF-specific proposal, needs simulation</w:t>
            </w:r>
          </w:p>
        </w:tc>
      </w:tr>
      <w:tr>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Mixed-geometry CW-complex conjoining</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4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Topologically valid, operational feasibility untested</w:t>
            </w:r>
          </w:p>
        </w:tc>
      </w:tr>
      <w:tr>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Drift energy variational principle</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4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Analogy to Riemannian optimization, unproved</w:t>
            </w:r>
          </w:p>
        </w:tc>
      </w:tr>
      <w:tr>
        <w:tc>
          <w:tcPr>
            <w:tcW w:type="dxa" w:w="35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Data induces monitoring structure</w:t>
            </w:r>
          </w:p>
        </w:tc>
        <w:tc>
          <w:tcPr>
            <w:tcW w:type="dxa" w:w="180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[CONJECTURE]</w:t>
            </w:r>
          </w:p>
        </w:tc>
        <w:tc>
          <w:tcPr>
            <w:tcW w:type="dxa" w:w="4060"/>
            <w:tcBorders>
              <w:top w:val="single" w:color="BBBBBB" w:sz="1"/>
              <w:left w:val="single" w:color="BBBBBB" w:sz="1"/>
              <w:bottom w:val="single" w:color="BBBBBB" w:sz="1"/>
              <w:right w:val="single" w:color="BBBBBB" w:sz="1"/>
            </w:tcBorders>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Central claim, requires empirical validation</w:t>
            </w:r>
          </w:p>
        </w:tc>
      </w:tr>
      <w:tr>
        <w:tc>
          <w:tcPr>
            <w:tcW w:type="dxa" w:w="35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Fuel gauge to manifold scaling</w:t>
            </w:r>
          </w:p>
        </w:tc>
        <w:tc>
          <w:tcPr>
            <w:tcW w:type="dxa" w:w="180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[PEDAGOGICAL]</w:t>
            </w:r>
          </w:p>
        </w:tc>
        <w:tc>
          <w:tcPr>
            <w:tcW w:type="dxa" w:w="4060"/>
            <w:tcBorders>
              <w:top w:val="single" w:color="BBBBBB" w:sz="1"/>
              <w:left w:val="single" w:color="BBBBBB" w:sz="1"/>
              <w:bottom w:val="single" w:color="BBBBBB" w:sz="1"/>
              <w:right w:val="single" w:color="BBBBBB" w:sz="1"/>
            </w:tcBorders>
            <w:shd w:fill="F2F2F2" w:val="clear"/>
            <w:tcMar>
              <w:top w:type="dxa" w:w="50"/>
              <w:left w:type="dxa" w:w="100"/>
              <w:bottom w:type="dxa" w:w="50"/>
              <w:right w:type="dxa" w:w="100"/>
            </w:tcMar>
          </w:tcPr>
          <w:p>
            <w:pPr>
              <w:jc w:val="left"/>
            </w:pPr>
            <w:r>
              <w:rPr>
                <w:rFonts w:ascii="Times New Roman" w:cs="Times New Roman" w:eastAsia="Times New Roman" w:hAnsi="Times New Roman"/>
                <w:b w:val="false"/>
                <w:bCs w:val="false"/>
                <w:color w:val="333333"/>
                <w:sz w:val="20"/>
                <w:szCs w:val="20"/>
              </w:rPr>
              <w:t xml:space="preserve">Operational metaphor for hierarchy</w:t>
            </w:r>
          </w:p>
        </w:tc>
      </w:tr>
    </w:tbl>
    <w:p>
      <w:pPr>
        <w:spacing w:after="160"/>
        <w:jc w:val="both"/>
      </w:pPr>
      <w:r>
        <w:rPr>
          <w:rFonts w:ascii="Times New Roman" w:cs="Times New Roman" w:eastAsia="Times New Roman" w:hAnsi="Times New Roman"/>
          <w:b w:val="false"/>
          <w:bCs w:val="false"/>
          <w:i w:val="false"/>
          <w:iCs w:val="false"/>
          <w:color w:val="333333"/>
          <w:sz w:val="22"/>
          <w:szCs w:val="22"/>
        </w:rPr>
        <w:t xml:space="preserve"/>
      </w:r>
    </w:p>
    <w:p>
      <w:pPr>
        <w:spacing w:after="160"/>
        <w:jc w:val="both"/>
      </w:pPr>
      <w:r>
        <w:rPr>
          <w:rFonts w:ascii="Times New Roman" w:cs="Times New Roman" w:eastAsia="Times New Roman" w:hAnsi="Times New Roman"/>
          <w:b/>
          <w:bCs/>
          <w:color w:val="333333"/>
          <w:sz w:val="22"/>
          <w:szCs w:val="22"/>
        </w:rPr>
        <w:t xml:space="preserve">Overall assessment: </w:t>
      </w:r>
      <w:r>
        <w:rPr>
          <w:rFonts w:ascii="Times New Roman" w:cs="Times New Roman" w:eastAsia="Times New Roman" w:hAnsi="Times New Roman"/>
          <w:color w:val="333333"/>
          <w:sz w:val="22"/>
          <w:szCs w:val="22"/>
        </w:rPr>
        <w:t xml:space="preserve">The conjecture rests on three established mathematical foundations (simplex geometry, Aitchison metric, SOM theory) and extends them with five novel proposals specific to HUF. The extensions are internally consistent and do not contradict existing HUF results, but they require empirical validation with real monitoring data before any claim can be upgraded from [CONJECTURE] to [EMPIRICAL].</w:t>
      </w:r>
    </w:p>
    <w:p>
      <w:pPr>
        <w:pStyle w:val="Heading2"/>
        <w:spacing w:after="160" w:before="280"/>
      </w:pPr>
      <w:r>
        <w:rPr>
          <w:rFonts w:ascii="Times New Roman" w:cs="Times New Roman" w:eastAsia="Times New Roman" w:hAnsi="Times New Roman"/>
          <w:b/>
          <w:bCs/>
          <w:color w:val="1F3864"/>
          <w:sz w:val="24"/>
          <w:szCs w:val="24"/>
        </w:rPr>
        <w:t xml:space="preserve">8.2 Open Questions for Future Work</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Convergence: </w:t>
      </w:r>
      <w:r>
        <w:rPr>
          <w:rFonts w:ascii="Times New Roman" w:cs="Times New Roman" w:eastAsia="Times New Roman" w:hAnsi="Times New Roman"/>
          <w:color w:val="333333"/>
          <w:sz w:val="22"/>
          <w:szCs w:val="22"/>
        </w:rPr>
        <w:t xml:space="preserve">Does the MDG-modulated SOM converge to a stable manifold for typical HUF data distributions? What are the convergence conditions?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Dimension selection: </w:t>
      </w:r>
      <w:r>
        <w:rPr>
          <w:rFonts w:ascii="Times New Roman" w:cs="Times New Roman" w:eastAsia="Times New Roman" w:hAnsi="Times New Roman"/>
          <w:color w:val="333333"/>
          <w:sz w:val="22"/>
          <w:szCs w:val="22"/>
        </w:rPr>
        <w:t xml:space="preserve">How does one determine the intrinsic dimension m of the induced manifold from data? Standard methods (e.g., correlation dimension, MLE) may apply.</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Gluing stability: </w:t>
      </w:r>
      <w:r>
        <w:rPr>
          <w:rFonts w:ascii="Times New Roman" w:cs="Times New Roman" w:eastAsia="Times New Roman" w:hAnsi="Times New Roman"/>
          <w:color w:val="333333"/>
          <w:sz w:val="22"/>
          <w:szCs w:val="22"/>
        </w:rPr>
        <w:t xml:space="preserve">Do the CW-complex gluing maps preserve unity under perturbation? Is the conjoined structure robust to local data failures?</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Computational feasibility: </w:t>
      </w:r>
      <w:r>
        <w:rPr>
          <w:rFonts w:ascii="Times New Roman" w:cs="Times New Roman" w:eastAsia="Times New Roman" w:hAnsi="Times New Roman"/>
          <w:color w:val="333333"/>
          <w:sz w:val="22"/>
          <w:szCs w:val="22"/>
        </w:rPr>
        <w:t xml:space="preserve">At what node count does the hierarchy become computationally impractical? What approximations are needed for n &gt; 1000?</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Empirical test: </w:t>
      </w:r>
      <w:r>
        <w:rPr>
          <w:rFonts w:ascii="Times New Roman" w:cs="Times New Roman" w:eastAsia="Times New Roman" w:hAnsi="Times New Roman"/>
          <w:color w:val="333333"/>
          <w:sz w:val="22"/>
          <w:szCs w:val="22"/>
        </w:rPr>
        <w:t xml:space="preserve">Apply the full pipeline (SOM training on real Ramsar data) and compare the emergent manifold structure to expert-designed monitoring templates. Does data-induced structure outperform imposed structure?</w:t>
      </w:r>
    </w:p>
    <w:p>
      <w:pPr>
        <w:pStyle w:val="ListParagraph"/>
        <w:numPr>
          <w:ilvl w:val="0"/>
          <w:numId w:val="2"/>
        </w:numPr>
        <w:spacing w:after="80"/>
      </w:pPr>
      <w:r>
        <w:rPr>
          <w:rFonts w:ascii="Times New Roman" w:cs="Times New Roman" w:eastAsia="Times New Roman" w:hAnsi="Times New Roman"/>
          <w:b/>
          <w:bCs/>
          <w:color w:val="333333"/>
          <w:sz w:val="22"/>
          <w:szCs w:val="22"/>
        </w:rPr>
        <w:t xml:space="preserve">Persistent homology integration: </w:t>
      </w:r>
      <w:r>
        <w:rPr>
          <w:rFonts w:ascii="Times New Roman" w:cs="Times New Roman" w:eastAsia="Times New Roman" w:hAnsi="Times New Roman"/>
          <w:color w:val="333333"/>
          <w:sz w:val="22"/>
          <w:szCs w:val="22"/>
        </w:rPr>
        <w:t xml:space="preserve">PH barcodes on the manifold could detect persistent features (long bars = stable monitoring structures, short bars = noise). This integration is proposed but not yet formalized.</w:t>
      </w:r>
    </w:p>
    <w:p>
      <w:r>
        <w:br w:type="page"/>
      </w:r>
    </w:p>
    <w:p>
      <w:pPr>
        <w:pStyle w:val="Heading1"/>
        <w:spacing w:after="200" w:before="360"/>
      </w:pPr>
      <w:r>
        <w:rPr>
          <w:rFonts w:ascii="Times New Roman" w:cs="Times New Roman" w:eastAsia="Times New Roman" w:hAnsi="Times New Roman"/>
          <w:b/>
          <w:bCs/>
          <w:color w:val="1F3864"/>
          <w:sz w:val="28"/>
          <w:szCs w:val="28"/>
        </w:rPr>
        <w:t xml:space="preserve">9. Conclusion</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HUF Topography Conjecture proposes that the framework contains an unrealized geometric depth. The probability simplex is not merely a constraint surface; it is an ambient space within which data-induced manifolds can form, self-organize, and provide monitoring solutions of arbitrary resolution. Q-nodes are not merely sensitivity parameters; they are the vertices of an emergent geometric structure that grows from the data itself.</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The mixed-geometry hierarchy solves the multi-scale deployment problem: a single mathematical framework that presents as a fuel gauge to a site operator, a regional dashboard to a manager, and a full topographic manifold to a global secretariat. The CW-complex conjoining ensures that these levels are not merely stacked views of the same data but structurally connected through gluing maps that preserve the unity constraint at every boundary.</w:t>
      </w:r>
    </w:p>
    <w:p>
      <w:pPr>
        <w:spacing w:after="160"/>
        <w:jc w:val="both"/>
      </w:pPr>
      <w:r>
        <w:rPr>
          <w:rFonts w:ascii="Times New Roman" w:cs="Times New Roman" w:eastAsia="Times New Roman" w:hAnsi="Times New Roman"/>
          <w:b w:val="false"/>
          <w:bCs w:val="false"/>
          <w:i w:val="false"/>
          <w:iCs w:val="false"/>
          <w:color w:val="333333"/>
          <w:sz w:val="22"/>
          <w:szCs w:val="22"/>
        </w:rPr>
        <w:t xml:space="preserve">This is a conjecture, not a theorem. The mathematical components are individually established (simplicial geometry, SOM theory, CW-complexes, Riemannian structure), but their combination into a unified HUF topography framework is novel and untested. The next step is empirical: apply self-organizing Q-node training to real monitoring data and determine whether the emergent manifold structure matches, exceeds, or fails to replicate the monitoring quality of expert-designed templates.</w:t>
      </w:r>
    </w:p>
    <w:p>
      <w:pPr>
        <w:spacing w:after="160"/>
        <w:jc w:val="both"/>
      </w:pPr>
      <w:r>
        <w:rPr>
          <w:rFonts w:ascii="Times New Roman" w:cs="Times New Roman" w:eastAsia="Times New Roman" w:hAnsi="Times New Roman"/>
          <w:b/>
          <w:bCs/>
          <w:i/>
          <w:iCs/>
          <w:color w:val="333333"/>
          <w:sz w:val="22"/>
          <w:szCs w:val="22"/>
        </w:rPr>
        <w:t xml:space="preserve">If the conjecture holds, HUF transitions from a monitoring framework that humans design and data populates, to a monitoring framework that data designs and humans interpret. </w:t>
      </w:r>
      <w:r>
        <w:rPr>
          <w:rFonts w:ascii="Times New Roman" w:cs="Times New Roman" w:eastAsia="Times New Roman" w:hAnsi="Times New Roman"/>
          <w:color w:val="333333"/>
          <w:sz w:val="22"/>
          <w:szCs w:val="22"/>
        </w:rPr>
        <w:t xml:space="preserve">The topography is the answer to the question the data provides.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Times New Roman" w:cs="Times New Roman" w:eastAsia="Times New Roman" w:hAnsi="Times New Roman"/>
        <w:color w:val="999999"/>
        <w:sz w:val="16"/>
        <w:szCs w:val="16"/>
      </w:rPr>
      <w:t xml:space="preserve">Higgins Unity Framework · Pre-Publication Draft · </w:t>
    </w:r>
    <w:r>
      <w:rPr>
        <w:rFonts w:ascii="Times New Roman" w:cs="Times New Roman" w:eastAsia="Times New Roman" w:hAnsi="Times New Roman"/>
        <w:color w:val="999999"/>
        <w:sz w:val="16"/>
        <w:szCs w:val="16"/>
      </w:rPr>
      <w:t xml:space="preserve">Page </w:t>
    </w:r>
    <w:r>
      <w:rPr>
        <w:rFonts w:ascii="Times New Roman" w:cs="Times New Roman" w:eastAsia="Times New Roman" w:hAnsi="Times New Roman"/>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jc w:val="center"/>
    </w:pPr>
    <w:r>
      <w:rPr>
        <w:rFonts w:ascii="Times New Roman" w:cs="Times New Roman" w:eastAsia="Times New Roman" w:hAnsi="Times New Roman"/>
        <w:color w:val="2E75B6"/>
        <w:sz w:val="18"/>
        <w:szCs w:val="18"/>
      </w:rPr>
      <w:t xml:space="preserve">HUF — Topography Conjecture</w:t>
    </w:r>
    <w:r>
      <w:rPr>
        <w:rFonts w:ascii="Times New Roman" w:cs="Times New Roman" w:eastAsia="Times New Roman" w:hAnsi="Times New Roman"/>
        <w:i/>
        <w:iCs/>
        <w:color w:val="2E75B6"/>
        <w:sz w:val="18"/>
        <w:szCs w:val="18"/>
      </w:rPr>
      <w:t xml:space="preserve">	From Points to Manifolds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2026-03-14T10:41:16.872Z</dcterms:created>
  <dcterms:modified xsi:type="dcterms:W3CDTF">2026-03-14T10:41:16.872Z</dcterms:modified>
</cp:coreProperties>
</file>

<file path=docProps/custom.xml><?xml version="1.0" encoding="utf-8"?>
<Properties xmlns="http://schemas.openxmlformats.org/officeDocument/2006/custom-properties" xmlns:vt="http://schemas.openxmlformats.org/officeDocument/2006/docPropsVTypes"/>
</file>