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color w:val="000000"/>
          <w:sz w:val="44"/>
        </w:rPr>
        <w:t>Manifold Characterization by Decomposition:</w:t>
      </w:r>
    </w:p>
    <w:p>
      <w:pPr>
        <w:jc w:val="center"/>
      </w:pPr>
      <w:r>
        <w:rPr>
          <w:rFonts w:ascii="Times New Roman" w:hAnsi="Times New Roman"/>
          <w:color w:val="1A1A1A"/>
          <w:sz w:val="32"/>
        </w:rPr>
        <w:t>A Deterministic Diagnostic Instrument for Compositional Data</w:t>
      </w:r>
    </w:p>
    <w:p/>
    <w:p>
      <w:pPr>
        <w:jc w:val="center"/>
      </w:pPr>
      <w:r>
        <w:rPr>
          <w:rFonts w:ascii="Times New Roman" w:hAnsi="Times New Roman"/>
          <w:b/>
          <w:color w:val="1A1A1A"/>
          <w:sz w:val="26"/>
        </w:rPr>
        <w:t>Peter Higgins</w:t>
      </w:r>
    </w:p>
    <w:p>
      <w:pPr>
        <w:jc w:val="center"/>
      </w:pPr>
      <w:r>
        <w:rPr>
          <w:rFonts w:ascii="Times New Roman" w:hAnsi="Times New Roman"/>
          <w:i/>
          <w:color w:val="666666"/>
          <w:sz w:val="22"/>
        </w:rPr>
        <w:t>Independent Researcher, Markham, Ontario, Canada</w:t>
      </w:r>
    </w:p>
    <w:p>
      <w:pPr>
        <w:jc w:val="center"/>
      </w:pPr>
      <w:r>
        <w:rPr>
          <w:rFonts w:ascii="Times New Roman" w:hAnsi="Times New Roman"/>
          <w:color w:val="666666"/>
          <w:sz w:val="20"/>
        </w:rPr>
        <w:t>PeterHiggins@RogueWaveAudio.com</w:t>
      </w:r>
    </w:p>
    <w:p/>
    <w:p/>
    <w:p>
      <w:pPr>
        <w:spacing w:after="120"/>
      </w:pPr>
      <w:r>
        <w:rPr>
          <w:rFonts w:ascii="Times New Roman" w:hAnsi="Times New Roman"/>
          <w:b/>
          <w:sz w:val="22"/>
        </w:rPr>
        <w:t>Abstract.</w:t>
      </w:r>
      <w:r>
        <w:rPr>
          <w:rFonts w:ascii="Times New Roman" w:hAnsi="Times New Roman"/>
          <w:i/>
          <w:color w:val="1A1A1A"/>
          <w:sz w:val="20"/>
        </w:rPr>
        <w:t xml:space="preserve"> We introduce the Higgins Decomposition (Hˢ), a deterministic diagnostic instrument that characterizes compositional manifolds through a sequence of seven operators acting entirely within Aitchison geometry. Given N observations of a D-part composition on the unit simplex S^(D−1), the instrument computes: (i) the cumulative Aitchison variance trajectory σ²_A(t), (ii) a quadratic vertex lock that classifies the trajectory as bowl (integrating) or hill (segregating), (iii) a proximity test against 35 transcendental constants that classifies the system as NATURAL, INVESTIGATE, or FLAG, and (iv) an entropy invariance test under geometric-mean decimation that detects scale symmetry. The instrument has zero tunable parameters — every constant is either a mathematical identity or a hardware precision limit — and produces bit-identical output on repeated runs. We present the mathematical framework, prove that the entropy invariance test is a renormalization group step on the simplex, and validate the instrument across three domains: nuclear binding energy (SEMF decomposition, N = 92, D = 3), national electricity generation (EMBER data, N = 25, D = 9), and synthetic adversarial compositions. The instrument discovers structural modes — bimodal populations, regime transitions, carrier coupling — from the geometry of the diagnostic code pattern without domain-specific knowledge. We pose three open questions for the compositional data analysis community.</w:t>
      </w:r>
    </w:p>
    <w:p>
      <w:r>
        <w:rPr>
          <w:rFonts w:ascii="Times New Roman" w:hAnsi="Times New Roman"/>
          <w:b/>
          <w:sz w:val="20"/>
        </w:rPr>
        <w:t xml:space="preserve">Keywords: </w:t>
      </w:r>
      <w:r>
        <w:rPr>
          <w:rFonts w:ascii="Times New Roman" w:hAnsi="Times New Roman"/>
          <w:i/>
          <w:sz w:val="20"/>
        </w:rPr>
        <w:t>compositional data analysis, Aitchison geometry, simplex, variance trajectory, transcendental constants, entropy invariance, renormalization group, diagnostic codes, manifold characterization</w:t>
      </w:r>
    </w:p>
    <w:p>
      <w:r>
        <w:br w:type="page"/>
      </w:r>
    </w:p>
    <w:p>
      <w:pPr>
        <w:pStyle w:val="Heading1"/>
      </w:pPr>
      <w:r>
        <w:rPr>
          <w:rFonts w:ascii="Times New Roman" w:hAnsi="Times New Roman"/>
          <w:color w:val="000000"/>
        </w:rPr>
        <w:t>1. Introduction</w:t>
      </w:r>
    </w:p>
    <w:p>
      <w:pPr>
        <w:spacing w:after="120"/>
        <w:ind w:firstLine="432"/>
      </w:pPr>
      <w:r>
        <w:rPr>
          <w:rFonts w:ascii="Times New Roman" w:hAnsi="Times New Roman"/>
          <w:b w:val="0"/>
          <w:i w:val="0"/>
          <w:color w:val="1A1A1A"/>
          <w:sz w:val="22"/>
        </w:rPr>
        <w:t>Compositional data — measurements that represent parts of a whole — arise in every quantitative science: geology (mineral abundances), ecology (species proportions), economics (market shares), genomics (allele frequencies), and cosmology (energy budgets). Since Aitchison's foundational work (1982, 1986), the compositional data analysis (CoDa) community has developed a rigorous geometric framework: the simplex as a sample space, log-ratio coordinates as the bridge to Euclidean analysis, and the Aitchison inner product as the natural metric.</w:t>
      </w:r>
    </w:p>
    <w:p>
      <w:pPr>
        <w:spacing w:after="120"/>
        <w:ind w:firstLine="432"/>
      </w:pPr>
      <w:r>
        <w:rPr>
          <w:rFonts w:ascii="Times New Roman" w:hAnsi="Times New Roman"/>
          <w:b w:val="0"/>
          <w:i w:val="0"/>
          <w:color w:val="1A1A1A"/>
          <w:sz w:val="22"/>
        </w:rPr>
        <w:t>This framework has produced powerful tools for regression, classification, and dimension reduction on the simplex. However, a gap remains: there is no standard instrument for characterizing the structural geometry of a composition as a whole — no compositional equivalent of the oscilloscope, spectrum analyser, or clinical blood panel that reads the state of a system and reports a structured diagnostic.</w:t>
      </w:r>
    </w:p>
    <w:p>
      <w:pPr>
        <w:spacing w:after="120"/>
        <w:ind w:firstLine="432"/>
      </w:pPr>
      <w:r>
        <w:rPr>
          <w:rFonts w:ascii="Times New Roman" w:hAnsi="Times New Roman"/>
          <w:b w:val="0"/>
          <w:i w:val="0"/>
          <w:color w:val="1A1A1A"/>
          <w:sz w:val="22"/>
        </w:rPr>
        <w:t>We address this gap by introducing the Higgins Decomposition (Hˢ), a deterministic pipeline that reads a composition and produces a manifold characterization. The instrument does not model, predict, or fit. It measures. The output is a set of geometric facts about the composition — its variance trajectory, its proximity to transcendental constants, its entropy behaviour under decimation — expressed as a structured diagnostic code sequence.</w:t>
      </w:r>
    </w:p>
    <w:p>
      <w:pPr>
        <w:spacing w:after="120"/>
        <w:ind w:firstLine="432"/>
      </w:pPr>
      <w:r>
        <w:rPr>
          <w:rFonts w:ascii="Times New Roman" w:hAnsi="Times New Roman"/>
          <w:b w:val="0"/>
          <w:i w:val="0"/>
          <w:color w:val="1A1A1A"/>
          <w:sz w:val="22"/>
        </w:rPr>
        <w:t>The central claim of this paper is that compositional manifold characterization is a distinct analytical category from compositional modelling. Where models ask 'what is the best fit to this data?', the instrument asks 'what is the character of this composition?' The answer is a manifold — a geometric object assembled from the crossflow between decomposition and composition.</w:t>
      </w:r>
    </w:p>
    <w:p>
      <w:pPr>
        <w:spacing w:after="120"/>
        <w:ind w:firstLine="432"/>
      </w:pPr>
      <w:r>
        <w:rPr>
          <w:rFonts w:ascii="Times New Roman" w:hAnsi="Times New Roman"/>
          <w:b w:val="0"/>
          <w:i w:val="0"/>
          <w:color w:val="1A1A1A"/>
          <w:sz w:val="22"/>
        </w:rPr>
        <w:t>The paper is organized as follows. Section 2 establishes the mathematical framework. Section 3 defines the seven operators of the Hˢ pipeline. Section 4 presents the transcendental proximity classification. Section 5 proves the entropy invariance result. Section 6 describes the diagnostic code system and structural mode detection. Section 7 presents experimental validation across three domains. Section 8 discusses the instrument's properties and limitations. Section 9 poses open questions for the CoDa community. Section 10 concludes.</w:t>
      </w:r>
    </w:p>
    <w:p>
      <w:pPr>
        <w:pStyle w:val="Heading1"/>
      </w:pPr>
      <w:r>
        <w:rPr>
          <w:rFonts w:ascii="Times New Roman" w:hAnsi="Times New Roman"/>
          <w:color w:val="000000"/>
        </w:rPr>
        <w:t>2. Mathematical Framework</w:t>
      </w:r>
    </w:p>
    <w:p>
      <w:pPr>
        <w:pStyle w:val="Heading2"/>
      </w:pPr>
      <w:r>
        <w:rPr>
          <w:rFonts w:ascii="Times New Roman" w:hAnsi="Times New Roman"/>
          <w:color w:val="000000"/>
        </w:rPr>
        <w:t>2.1. The simplex and Aitchison geometry</w:t>
      </w:r>
    </w:p>
    <w:p>
      <w:pPr>
        <w:spacing w:after="120"/>
      </w:pPr>
      <w:r>
        <w:rPr>
          <w:rFonts w:ascii="Times New Roman" w:hAnsi="Times New Roman"/>
          <w:b w:val="0"/>
          <w:i w:val="0"/>
          <w:color w:val="1A1A1A"/>
          <w:sz w:val="22"/>
        </w:rPr>
        <w:t>Let S^(D−1) denote the unit simplex of D-part compositions:</w:t>
      </w:r>
    </w:p>
    <w:p>
      <w:pPr>
        <w:spacing w:before="120" w:after="120"/>
        <w:jc w:val="center"/>
      </w:pPr>
      <w:r>
        <w:rPr>
          <w:rFonts w:ascii="Cambria Math" w:hAnsi="Cambria Math"/>
          <w:i/>
          <w:color w:val="1A1A1A"/>
          <w:sz w:val="22"/>
        </w:rPr>
        <w:t>S^(D−1) = { x ∈ ℝ^D : x_j &gt; 0 for all j, Σ x_j = 1 }</w:t>
      </w:r>
    </w:p>
    <w:p>
      <w:pPr>
        <w:spacing w:after="120"/>
      </w:pPr>
      <w:r>
        <w:rPr>
          <w:rFonts w:ascii="Times New Roman" w:hAnsi="Times New Roman"/>
          <w:b w:val="0"/>
          <w:i w:val="0"/>
          <w:color w:val="1A1A1A"/>
          <w:sz w:val="22"/>
        </w:rPr>
        <w:t>The simplex is a (D−1)-dimensional manifold embedded in ℝ^D. Aitchison (1986) showed that the natural geometry of S^(D−1) is not Euclidean but is induced by the centred log-ratio (CLR) mapping.</w:t>
      </w:r>
    </w:p>
    <w:p>
      <w:pPr>
        <w:pStyle w:val="Heading2"/>
      </w:pPr>
      <w:r>
        <w:rPr>
          <w:rFonts w:ascii="Times New Roman" w:hAnsi="Times New Roman"/>
          <w:color w:val="000000"/>
        </w:rPr>
        <w:t>2.2. The CLR transform</w:t>
      </w:r>
    </w:p>
    <w:p>
      <w:pPr>
        <w:spacing w:after="120"/>
      </w:pPr>
      <w:r>
        <w:rPr>
          <w:rFonts w:ascii="Times New Roman" w:hAnsi="Times New Roman"/>
          <w:b w:val="0"/>
          <w:i w:val="0"/>
          <w:color w:val="1A1A1A"/>
          <w:sz w:val="22"/>
        </w:rPr>
        <w:t>For x ∈ S^(D−1), the centred log-ratio transform is:</w:t>
      </w:r>
    </w:p>
    <w:p>
      <w:pPr>
        <w:spacing w:before="120" w:after="120"/>
        <w:jc w:val="center"/>
      </w:pPr>
      <w:r>
        <w:rPr>
          <w:rFonts w:ascii="Cambria Math" w:hAnsi="Cambria Math"/>
          <w:i/>
          <w:color w:val="1A1A1A"/>
          <w:sz w:val="22"/>
        </w:rPr>
        <w:t>clr(x)_j = ln(x_j) − (1/D) Σ_{k=1}^{D} ln(x_k),    j = 1, ..., D</w:t>
      </w:r>
    </w:p>
    <w:p>
      <w:pPr>
        <w:spacing w:after="120"/>
      </w:pPr>
      <w:r>
        <w:rPr>
          <w:rFonts w:ascii="Times New Roman" w:hAnsi="Times New Roman"/>
          <w:b w:val="0"/>
          <w:i w:val="0"/>
          <w:color w:val="1A1A1A"/>
          <w:sz w:val="22"/>
        </w:rPr>
        <w:t>The CLR maps the simplex to a (D−1)-dimensional hyperplane in ℝ^D satisfying Σ clr(x)_j = 0. This zero-sum constraint is fundamental: it means that CLR coordinates are not independent, but encode the relative structure of the composition without introducing spurious correlations.</w:t>
      </w:r>
    </w:p>
    <w:p>
      <w:pPr>
        <w:pStyle w:val="Heading2"/>
      </w:pPr>
      <w:r>
        <w:rPr>
          <w:rFonts w:ascii="Times New Roman" w:hAnsi="Times New Roman"/>
          <w:color w:val="000000"/>
        </w:rPr>
        <w:t>2.3. Aitchison variance</w:t>
      </w:r>
    </w:p>
    <w:p>
      <w:pPr>
        <w:spacing w:after="120"/>
      </w:pPr>
      <w:r>
        <w:rPr>
          <w:rFonts w:ascii="Times New Roman" w:hAnsi="Times New Roman"/>
          <w:b w:val="0"/>
          <w:i w:val="0"/>
          <w:color w:val="1A1A1A"/>
          <w:sz w:val="22"/>
        </w:rPr>
        <w:t>The total Aitchison variance of a dataset X = {x₁, ..., x_N} on S^(D−1) is:</w:t>
      </w:r>
    </w:p>
    <w:p>
      <w:pPr>
        <w:spacing w:before="120" w:after="120"/>
        <w:jc w:val="center"/>
      </w:pPr>
      <w:r>
        <w:rPr>
          <w:rFonts w:ascii="Cambria Math" w:hAnsi="Cambria Math"/>
          <w:i/>
          <w:color w:val="1A1A1A"/>
          <w:sz w:val="22"/>
        </w:rPr>
        <w:t>σ²_A(X) = Σ_{j=1}^{D} var(clr(X)_j)</w:t>
      </w:r>
    </w:p>
    <w:p>
      <w:pPr>
        <w:spacing w:after="120"/>
      </w:pPr>
      <w:r>
        <w:rPr>
          <w:rFonts w:ascii="Times New Roman" w:hAnsi="Times New Roman"/>
          <w:b w:val="0"/>
          <w:i w:val="0"/>
          <w:color w:val="1A1A1A"/>
          <w:sz w:val="22"/>
        </w:rPr>
        <w:t>where var denotes the sample variance over N observations. This is a scalar measure of total compositional dispersion in log-ratio space. It is invariant under permutation of carriers and under the choice of log-ratio transform (CLR, ILR, or ALR) up to scale.</w:t>
      </w:r>
    </w:p>
    <w:p>
      <w:pPr>
        <w:pStyle w:val="Heading2"/>
      </w:pPr>
      <w:r>
        <w:rPr>
          <w:rFonts w:ascii="Times New Roman" w:hAnsi="Times New Roman"/>
          <w:color w:val="000000"/>
        </w:rPr>
        <w:t>2.4. The variance trajectory</w:t>
      </w:r>
    </w:p>
    <w:p>
      <w:pPr>
        <w:spacing w:after="120"/>
      </w:pPr>
      <w:r>
        <w:rPr>
          <w:rFonts w:ascii="Times New Roman" w:hAnsi="Times New Roman"/>
          <w:b w:val="0"/>
          <w:i w:val="0"/>
          <w:color w:val="1A1A1A"/>
          <w:sz w:val="22"/>
        </w:rPr>
        <w:t>We define the cumulative Aitchison variance trajectory as the function σ²_A(t) computed over the expanding window {x₁, ..., x_t} for t = 2, ..., N:</w:t>
      </w:r>
    </w:p>
    <w:p>
      <w:pPr>
        <w:spacing w:before="120" w:after="120"/>
        <w:jc w:val="center"/>
      </w:pPr>
      <w:r>
        <w:rPr>
          <w:rFonts w:ascii="Cambria Math" w:hAnsi="Cambria Math"/>
          <w:i/>
          <w:color w:val="1A1A1A"/>
          <w:sz w:val="22"/>
        </w:rPr>
        <w:t>σ²_A(t) = Σ_{j=1}^{D} var(clr(x₁, ..., x_t)_j),    t = 2, ..., N</w:t>
      </w:r>
    </w:p>
    <w:p>
      <w:pPr>
        <w:spacing w:after="120"/>
      </w:pPr>
      <w:r>
        <w:rPr>
          <w:rFonts w:ascii="Times New Roman" w:hAnsi="Times New Roman"/>
          <w:b w:val="0"/>
          <w:i w:val="0"/>
          <w:color w:val="1A1A1A"/>
          <w:sz w:val="22"/>
        </w:rPr>
        <w:t>This trajectory is a curve in ℝ that encodes how compositional dispersion evolves as observations accumulate. Its shape — monotonically increasing, parabolic, oscillating — is a geometric fingerprint of the composition. The trajectory is deterministic: given the same ordered dataset, it is unique.</w:t>
      </w:r>
    </w:p>
    <w:p>
      <w:pPr>
        <w:spacing w:after="120"/>
      </w:pPr>
      <w:r>
        <w:rPr>
          <w:rFonts w:ascii="Times New Roman" w:hAnsi="Times New Roman"/>
          <w:b w:val="0"/>
          <w:i w:val="0"/>
          <w:color w:val="1A1A1A"/>
          <w:sz w:val="22"/>
        </w:rPr>
        <w:t>The trajectory is defined for ordered data (time series, parametric sequences, measurement chains). For unordered cross-sectional data, the trajectory depends on the ordering convention. This is a structural property, not a limitation: order sensitivity itself is diagnostic (see Section 6).</w:t>
      </w:r>
    </w:p>
    <w:p>
      <w:pPr>
        <w:pStyle w:val="Heading1"/>
      </w:pPr>
      <w:r>
        <w:rPr>
          <w:rFonts w:ascii="Times New Roman" w:hAnsi="Times New Roman"/>
          <w:color w:val="000000"/>
        </w:rPr>
        <w:t>3. The Hˢ Instrument: Seven Operators</w:t>
      </w:r>
    </w:p>
    <w:p>
      <w:pPr>
        <w:spacing w:after="120"/>
      </w:pPr>
      <w:r>
        <w:rPr>
          <w:rFonts w:ascii="Times New Roman" w:hAnsi="Times New Roman"/>
          <w:b w:val="0"/>
          <w:i w:val="0"/>
          <w:color w:val="1A1A1A"/>
          <w:sz w:val="22"/>
        </w:rPr>
        <w:t>The Higgins Decomposition is the composition of seven operators:</w:t>
      </w:r>
    </w:p>
    <w:p>
      <w:pPr>
        <w:spacing w:before="120" w:after="120"/>
        <w:jc w:val="center"/>
      </w:pPr>
      <w:r>
        <w:rPr>
          <w:rFonts w:ascii="Cambria Math" w:hAnsi="Cambria Math"/>
          <w:i/>
          <w:color w:val="1A1A1A"/>
          <w:sz w:val="22"/>
        </w:rPr>
        <w:t>Hˢ = R ∘ M ∘ E ∘ C ∘ T ∘ V ∘ S</w:t>
      </w:r>
    </w:p>
    <w:p>
      <w:pPr>
        <w:spacing w:after="120"/>
      </w:pPr>
      <w:r>
        <w:rPr>
          <w:rFonts w:ascii="Times New Roman" w:hAnsi="Times New Roman"/>
          <w:b w:val="0"/>
          <w:i w:val="0"/>
          <w:color w:val="1A1A1A"/>
          <w:sz w:val="22"/>
        </w:rPr>
        <w:t>Each operator is a pure function: deterministic, stateless, and free of tunable parameters. The operators are applied sequentially, with each receiving the output of the preceding operator.</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60"/>
        <w:gridCol w:w="2160"/>
        <w:gridCol w:w="2160"/>
        <w:gridCol w:w="2160"/>
      </w:tblGrid>
      <w:tr>
        <w:trPr>
          <w:tblHeader/>
        </w:trPr>
        <w:tc>
          <w:tcPr>
            <w:tcW w:type="dxa" w:w="576"/>
            <w:tcMar>
              <w:top w:w="50" w:type="dxa"/>
              <w:bottom w:w="50" w:type="dxa"/>
              <w:left w:w="80" w:type="dxa"/>
              <w:right w:w="80" w:type="dxa"/>
            </w:tcMar>
            <w:shd w:fill="333333" w:val="clear"/>
          </w:tcPr>
          <w:p>
            <w:r/>
            <w:r>
              <w:rPr>
                <w:rFonts w:ascii="Times New Roman" w:hAnsi="Times New Roman"/>
                <w:b/>
                <w:color w:val="FFFFFF"/>
                <w:sz w:val="18"/>
              </w:rPr>
              <w:t>Op.</w:t>
            </w:r>
          </w:p>
        </w:tc>
        <w:tc>
          <w:tcPr>
            <w:tcW w:type="dxa" w:w="1440"/>
            <w:tcMar>
              <w:top w:w="50" w:type="dxa"/>
              <w:bottom w:w="50" w:type="dxa"/>
              <w:left w:w="80" w:type="dxa"/>
              <w:right w:w="80" w:type="dxa"/>
            </w:tcMar>
            <w:shd w:fill="333333" w:val="clear"/>
          </w:tcPr>
          <w:p>
            <w:r/>
            <w:r>
              <w:rPr>
                <w:rFonts w:ascii="Times New Roman" w:hAnsi="Times New Roman"/>
                <w:b/>
                <w:color w:val="FFFFFF"/>
                <w:sz w:val="18"/>
              </w:rPr>
              <w:t>Name</w:t>
            </w:r>
          </w:p>
        </w:tc>
        <w:tc>
          <w:tcPr>
            <w:tcW w:type="dxa" w:w="2160"/>
            <w:tcMar>
              <w:top w:w="50" w:type="dxa"/>
              <w:bottom w:w="50" w:type="dxa"/>
              <w:left w:w="80" w:type="dxa"/>
              <w:right w:w="80" w:type="dxa"/>
            </w:tcMar>
            <w:shd w:fill="333333" w:val="clear"/>
          </w:tcPr>
          <w:p>
            <w:r/>
            <w:r>
              <w:rPr>
                <w:rFonts w:ascii="Times New Roman" w:hAnsi="Times New Roman"/>
                <w:b/>
                <w:color w:val="FFFFFF"/>
                <w:sz w:val="18"/>
              </w:rPr>
              <w:t>Domain → Codomain</w:t>
            </w:r>
          </w:p>
        </w:tc>
        <w:tc>
          <w:tcPr>
            <w:tcW w:type="dxa" w:w="4464"/>
            <w:tcMar>
              <w:top w:w="50" w:type="dxa"/>
              <w:bottom w:w="50" w:type="dxa"/>
              <w:left w:w="80" w:type="dxa"/>
              <w:right w:w="80" w:type="dxa"/>
            </w:tcMar>
            <w:shd w:fill="333333" w:val="clear"/>
          </w:tcPr>
          <w:p>
            <w:r/>
            <w:r>
              <w:rPr>
                <w:rFonts w:ascii="Times New Roman" w:hAnsi="Times New Roman"/>
                <w:b/>
                <w:color w:val="FFFFFF"/>
                <w:sz w:val="18"/>
              </w:rPr>
              <w:t>Definition</w:t>
            </w:r>
          </w:p>
        </w:tc>
      </w:tr>
      <w:tr>
        <w:tc>
          <w:tcPr>
            <w:tcW w:type="dxa" w:w="576"/>
            <w:tcMar>
              <w:top w:w="50" w:type="dxa"/>
              <w:bottom w:w="50" w:type="dxa"/>
              <w:left w:w="80" w:type="dxa"/>
              <w:right w:w="80" w:type="dxa"/>
            </w:tcMar>
          </w:tcPr>
          <w:p>
            <w:r/>
            <w:r>
              <w:rPr>
                <w:rFonts w:ascii="Times New Roman" w:hAnsi="Times New Roman"/>
                <w:b w:val="0"/>
                <w:i w:val="0"/>
                <w:color w:val="1A1A1A"/>
                <w:sz w:val="18"/>
              </w:rPr>
              <w:t>S</w:t>
            </w:r>
          </w:p>
        </w:tc>
        <w:tc>
          <w:tcPr>
            <w:tcW w:type="dxa" w:w="1440"/>
            <w:tcMar>
              <w:top w:w="50" w:type="dxa"/>
              <w:bottom w:w="50" w:type="dxa"/>
              <w:left w:w="80" w:type="dxa"/>
              <w:right w:w="80" w:type="dxa"/>
            </w:tcMar>
          </w:tcPr>
          <w:p>
            <w:r/>
            <w:r>
              <w:rPr>
                <w:rFonts w:ascii="Times New Roman" w:hAnsi="Times New Roman"/>
                <w:b w:val="0"/>
                <w:i w:val="0"/>
                <w:color w:val="1A1A1A"/>
                <w:sz w:val="18"/>
              </w:rPr>
              <w:t>Simplex</w:t>
            </w:r>
          </w:p>
        </w:tc>
        <w:tc>
          <w:tcPr>
            <w:tcW w:type="dxa" w:w="2160"/>
            <w:tcMar>
              <w:top w:w="50" w:type="dxa"/>
              <w:bottom w:w="50" w:type="dxa"/>
              <w:left w:w="80" w:type="dxa"/>
              <w:right w:w="80" w:type="dxa"/>
            </w:tcMar>
          </w:tcPr>
          <w:p>
            <w:r/>
            <w:r>
              <w:rPr>
                <w:rFonts w:ascii="Times New Roman" w:hAnsi="Times New Roman"/>
                <w:b w:val="0"/>
                <w:i w:val="0"/>
                <w:color w:val="1A1A1A"/>
                <w:sz w:val="18"/>
              </w:rPr>
              <w:t>ℝ⁺ᴺˣᴰ → S^(D−1)</w:t>
            </w:r>
          </w:p>
        </w:tc>
        <w:tc>
          <w:tcPr>
            <w:tcW w:type="dxa" w:w="4464"/>
            <w:tcMar>
              <w:top w:w="50" w:type="dxa"/>
              <w:bottom w:w="50" w:type="dxa"/>
              <w:left w:w="80" w:type="dxa"/>
              <w:right w:w="80" w:type="dxa"/>
            </w:tcMar>
          </w:tcPr>
          <w:p>
            <w:r/>
            <w:r>
              <w:rPr>
                <w:rFonts w:ascii="Times New Roman" w:hAnsi="Times New Roman"/>
                <w:b w:val="0"/>
                <w:i w:val="0"/>
                <w:color w:val="1A1A1A"/>
                <w:sz w:val="18"/>
              </w:rPr>
              <w:t>Zero replacement (δ = 10⁻⁶) and row normalization</w:t>
            </w:r>
          </w:p>
        </w:tc>
      </w:tr>
      <w:tr>
        <w:tc>
          <w:tcPr>
            <w:tcW w:type="dxa" w:w="576"/>
            <w:tcMar>
              <w:top w:w="50" w:type="dxa"/>
              <w:bottom w:w="50" w:type="dxa"/>
              <w:left w:w="80" w:type="dxa"/>
              <w:right w:w="80" w:type="dxa"/>
            </w:tcMar>
            <w:shd w:fill="F5F5F5" w:val="clear"/>
          </w:tcPr>
          <w:p>
            <w:r/>
            <w:r>
              <w:rPr>
                <w:rFonts w:ascii="Times New Roman" w:hAnsi="Times New Roman"/>
                <w:b w:val="0"/>
                <w:i w:val="0"/>
                <w:color w:val="1A1A1A"/>
                <w:sz w:val="18"/>
              </w:rPr>
              <w:t>V</w:t>
            </w:r>
          </w:p>
        </w:tc>
        <w:tc>
          <w:tcPr>
            <w:tcW w:type="dxa" w:w="1440"/>
            <w:tcMar>
              <w:top w:w="50" w:type="dxa"/>
              <w:bottom w:w="50" w:type="dxa"/>
              <w:left w:w="80" w:type="dxa"/>
              <w:right w:w="80" w:type="dxa"/>
            </w:tcMar>
            <w:shd w:fill="F5F5F5" w:val="clear"/>
          </w:tcPr>
          <w:p>
            <w:r/>
            <w:r>
              <w:rPr>
                <w:rFonts w:ascii="Times New Roman" w:hAnsi="Times New Roman"/>
                <w:b w:val="0"/>
                <w:i w:val="0"/>
                <w:color w:val="1A1A1A"/>
                <w:sz w:val="18"/>
              </w:rPr>
              <w:t>Variance</w:t>
            </w:r>
          </w:p>
        </w:tc>
        <w:tc>
          <w:tcPr>
            <w:tcW w:type="dxa" w:w="2160"/>
            <w:tcMar>
              <w:top w:w="50" w:type="dxa"/>
              <w:bottom w:w="50" w:type="dxa"/>
              <w:left w:w="80" w:type="dxa"/>
              <w:right w:w="80" w:type="dxa"/>
            </w:tcMar>
            <w:shd w:fill="F5F5F5" w:val="clear"/>
          </w:tcPr>
          <w:p>
            <w:r/>
            <w:r>
              <w:rPr>
                <w:rFonts w:ascii="Times New Roman" w:hAnsi="Times New Roman"/>
                <w:b w:val="0"/>
                <w:i w:val="0"/>
                <w:color w:val="1A1A1A"/>
                <w:sz w:val="18"/>
              </w:rPr>
              <w:t>S^(D−1) → ℝᴺ</w:t>
            </w:r>
          </w:p>
        </w:tc>
        <w:tc>
          <w:tcPr>
            <w:tcW w:type="dxa" w:w="4464"/>
            <w:tcMar>
              <w:top w:w="50" w:type="dxa"/>
              <w:bottom w:w="50" w:type="dxa"/>
              <w:left w:w="80" w:type="dxa"/>
              <w:right w:w="80" w:type="dxa"/>
            </w:tcMar>
            <w:shd w:fill="F5F5F5" w:val="clear"/>
          </w:tcPr>
          <w:p>
            <w:r/>
            <w:r>
              <w:rPr>
                <w:rFonts w:ascii="Times New Roman" w:hAnsi="Times New Roman"/>
                <w:b w:val="0"/>
                <w:i w:val="0"/>
                <w:color w:val="1A1A1A"/>
                <w:sz w:val="18"/>
              </w:rPr>
              <w:t>CLR transform followed by cumulative σ²_A(t)</w:t>
            </w:r>
          </w:p>
        </w:tc>
      </w:tr>
      <w:tr>
        <w:tc>
          <w:tcPr>
            <w:tcW w:type="dxa" w:w="576"/>
            <w:tcMar>
              <w:top w:w="50" w:type="dxa"/>
              <w:bottom w:w="50" w:type="dxa"/>
              <w:left w:w="80" w:type="dxa"/>
              <w:right w:w="80" w:type="dxa"/>
            </w:tcMar>
          </w:tcPr>
          <w:p>
            <w:r/>
            <w:r>
              <w:rPr>
                <w:rFonts w:ascii="Times New Roman" w:hAnsi="Times New Roman"/>
                <w:b w:val="0"/>
                <w:i w:val="0"/>
                <w:color w:val="1A1A1A"/>
                <w:sz w:val="18"/>
              </w:rPr>
              <w:t>T</w:t>
            </w:r>
          </w:p>
        </w:tc>
        <w:tc>
          <w:tcPr>
            <w:tcW w:type="dxa" w:w="1440"/>
            <w:tcMar>
              <w:top w:w="50" w:type="dxa"/>
              <w:bottom w:w="50" w:type="dxa"/>
              <w:left w:w="80" w:type="dxa"/>
              <w:right w:w="80" w:type="dxa"/>
            </w:tcMar>
          </w:tcPr>
          <w:p>
            <w:r/>
            <w:r>
              <w:rPr>
                <w:rFonts w:ascii="Times New Roman" w:hAnsi="Times New Roman"/>
                <w:b w:val="0"/>
                <w:i w:val="0"/>
                <w:color w:val="1A1A1A"/>
                <w:sz w:val="18"/>
              </w:rPr>
              <w:t>Transcendental</w:t>
            </w:r>
          </w:p>
        </w:tc>
        <w:tc>
          <w:tcPr>
            <w:tcW w:type="dxa" w:w="2160"/>
            <w:tcMar>
              <w:top w:w="50" w:type="dxa"/>
              <w:bottom w:w="50" w:type="dxa"/>
              <w:left w:w="80" w:type="dxa"/>
              <w:right w:w="80" w:type="dxa"/>
            </w:tcMar>
          </w:tcPr>
          <w:p>
            <w:r/>
            <w:r>
              <w:rPr>
                <w:rFonts w:ascii="Times New Roman" w:hAnsi="Times New Roman"/>
                <w:b w:val="0"/>
                <w:i w:val="0"/>
                <w:color w:val="1A1A1A"/>
                <w:sz w:val="18"/>
              </w:rPr>
              <w:t>ℝᴺ → {matches}</w:t>
            </w:r>
          </w:p>
        </w:tc>
        <w:tc>
          <w:tcPr>
            <w:tcW w:type="dxa" w:w="4464"/>
            <w:tcMar>
              <w:top w:w="50" w:type="dxa"/>
              <w:bottom w:w="50" w:type="dxa"/>
              <w:left w:w="80" w:type="dxa"/>
              <w:right w:w="80" w:type="dxa"/>
            </w:tcMar>
          </w:tcPr>
          <w:p>
            <w:r/>
            <w:r>
              <w:rPr>
                <w:rFonts w:ascii="Times New Roman" w:hAnsi="Times New Roman"/>
                <w:b w:val="0"/>
                <w:i w:val="0"/>
                <w:color w:val="1A1A1A"/>
                <w:sz w:val="18"/>
              </w:rPr>
              <w:t>Proximity test: |σ²_A(t) − c_k| &lt; ε for 35 constants c_k</w:t>
            </w:r>
          </w:p>
        </w:tc>
      </w:tr>
      <w:tr>
        <w:tc>
          <w:tcPr>
            <w:tcW w:type="dxa" w:w="576"/>
            <w:tcMar>
              <w:top w:w="50" w:type="dxa"/>
              <w:bottom w:w="50" w:type="dxa"/>
              <w:left w:w="80" w:type="dxa"/>
              <w:right w:w="80" w:type="dxa"/>
            </w:tcMar>
            <w:shd w:fill="F5F5F5" w:val="clear"/>
          </w:tcPr>
          <w:p>
            <w:r/>
            <w:r>
              <w:rPr>
                <w:rFonts w:ascii="Times New Roman" w:hAnsi="Times New Roman"/>
                <w:b w:val="0"/>
                <w:i w:val="0"/>
                <w:color w:val="1A1A1A"/>
                <w:sz w:val="18"/>
              </w:rPr>
              <w:t>C</w:t>
            </w:r>
          </w:p>
        </w:tc>
        <w:tc>
          <w:tcPr>
            <w:tcW w:type="dxa" w:w="1440"/>
            <w:tcMar>
              <w:top w:w="50" w:type="dxa"/>
              <w:bottom w:w="50" w:type="dxa"/>
              <w:left w:w="80" w:type="dxa"/>
              <w:right w:w="80" w:type="dxa"/>
            </w:tcMar>
            <w:shd w:fill="F5F5F5" w:val="clear"/>
          </w:tcPr>
          <w:p>
            <w:r/>
            <w:r>
              <w:rPr>
                <w:rFonts w:ascii="Times New Roman" w:hAnsi="Times New Roman"/>
                <w:b w:val="0"/>
                <w:i w:val="0"/>
                <w:color w:val="1A1A1A"/>
                <w:sz w:val="18"/>
              </w:rPr>
              <w:t>Classification</w:t>
            </w:r>
          </w:p>
        </w:tc>
        <w:tc>
          <w:tcPr>
            <w:tcW w:type="dxa" w:w="2160"/>
            <w:tcMar>
              <w:top w:w="50" w:type="dxa"/>
              <w:bottom w:w="50" w:type="dxa"/>
              <w:left w:w="80" w:type="dxa"/>
              <w:right w:w="80" w:type="dxa"/>
            </w:tcMar>
            <w:shd w:fill="F5F5F5" w:val="clear"/>
          </w:tcPr>
          <w:p>
            <w:r/>
            <w:r>
              <w:rPr>
                <w:rFonts w:ascii="Times New Roman" w:hAnsi="Times New Roman"/>
                <w:b w:val="0"/>
                <w:i w:val="0"/>
                <w:color w:val="1A1A1A"/>
                <w:sz w:val="18"/>
              </w:rPr>
              <w:t>ℝ × {matches} → {N, I, F}</w:t>
            </w:r>
          </w:p>
        </w:tc>
        <w:tc>
          <w:tcPr>
            <w:tcW w:type="dxa" w:w="4464"/>
            <w:tcMar>
              <w:top w:w="50" w:type="dxa"/>
              <w:bottom w:w="50" w:type="dxa"/>
              <w:left w:w="80" w:type="dxa"/>
              <w:right w:w="80" w:type="dxa"/>
            </w:tcMar>
            <w:shd w:fill="F5F5F5" w:val="clear"/>
          </w:tcPr>
          <w:p>
            <w:r/>
            <w:r>
              <w:rPr>
                <w:rFonts w:ascii="Times New Roman" w:hAnsi="Times New Roman"/>
                <w:b w:val="0"/>
                <w:i w:val="0"/>
                <w:color w:val="1A1A1A"/>
                <w:sz w:val="18"/>
              </w:rPr>
              <w:t>HVLD quadratic fit + HTP proximity classification</w:t>
            </w:r>
          </w:p>
        </w:tc>
      </w:tr>
      <w:tr>
        <w:tc>
          <w:tcPr>
            <w:tcW w:type="dxa" w:w="576"/>
            <w:tcMar>
              <w:top w:w="50" w:type="dxa"/>
              <w:bottom w:w="50" w:type="dxa"/>
              <w:left w:w="80" w:type="dxa"/>
              <w:right w:w="80" w:type="dxa"/>
            </w:tcMar>
          </w:tcPr>
          <w:p>
            <w:r/>
            <w:r>
              <w:rPr>
                <w:rFonts w:ascii="Times New Roman" w:hAnsi="Times New Roman"/>
                <w:b w:val="0"/>
                <w:i w:val="0"/>
                <w:color w:val="1A1A1A"/>
                <w:sz w:val="18"/>
              </w:rPr>
              <w:t>E</w:t>
            </w:r>
          </w:p>
        </w:tc>
        <w:tc>
          <w:tcPr>
            <w:tcW w:type="dxa" w:w="1440"/>
            <w:tcMar>
              <w:top w:w="50" w:type="dxa"/>
              <w:bottom w:w="50" w:type="dxa"/>
              <w:left w:w="80" w:type="dxa"/>
              <w:right w:w="80" w:type="dxa"/>
            </w:tcMar>
          </w:tcPr>
          <w:p>
            <w:r/>
            <w:r>
              <w:rPr>
                <w:rFonts w:ascii="Times New Roman" w:hAnsi="Times New Roman"/>
                <w:b w:val="0"/>
                <w:i w:val="0"/>
                <w:color w:val="1A1A1A"/>
                <w:sz w:val="18"/>
              </w:rPr>
              <w:t>Entropy</w:t>
            </w:r>
          </w:p>
        </w:tc>
        <w:tc>
          <w:tcPr>
            <w:tcW w:type="dxa" w:w="2160"/>
            <w:tcMar>
              <w:top w:w="50" w:type="dxa"/>
              <w:bottom w:w="50" w:type="dxa"/>
              <w:left w:w="80" w:type="dxa"/>
              <w:right w:w="80" w:type="dxa"/>
            </w:tcMar>
          </w:tcPr>
          <w:p>
            <w:r/>
            <w:r>
              <w:rPr>
                <w:rFonts w:ascii="Times New Roman" w:hAnsi="Times New Roman"/>
                <w:b w:val="0"/>
                <w:i w:val="0"/>
                <w:color w:val="1A1A1A"/>
                <w:sz w:val="18"/>
              </w:rPr>
              <w:t>S^(D−1) → ℝᴺ × {pass/fail}</w:t>
            </w:r>
          </w:p>
        </w:tc>
        <w:tc>
          <w:tcPr>
            <w:tcW w:type="dxa" w:w="4464"/>
            <w:tcMar>
              <w:top w:w="50" w:type="dxa"/>
              <w:bottom w:w="50" w:type="dxa"/>
              <w:left w:w="80" w:type="dxa"/>
              <w:right w:w="80" w:type="dxa"/>
            </w:tcMar>
          </w:tcPr>
          <w:p>
            <w:r/>
            <w:r>
              <w:rPr>
                <w:rFonts w:ascii="Times New Roman" w:hAnsi="Times New Roman"/>
                <w:b w:val="0"/>
                <w:i w:val="0"/>
                <w:color w:val="1A1A1A"/>
                <w:sz w:val="18"/>
              </w:rPr>
              <w:t>Shannon H(t) + EITT geometric-mean decimation test</w:t>
            </w:r>
          </w:p>
        </w:tc>
      </w:tr>
      <w:tr>
        <w:tc>
          <w:tcPr>
            <w:tcW w:type="dxa" w:w="576"/>
            <w:tcMar>
              <w:top w:w="50" w:type="dxa"/>
              <w:bottom w:w="50" w:type="dxa"/>
              <w:left w:w="80" w:type="dxa"/>
              <w:right w:w="80" w:type="dxa"/>
            </w:tcMar>
            <w:shd w:fill="F5F5F5" w:val="clear"/>
          </w:tcPr>
          <w:p>
            <w:r/>
            <w:r>
              <w:rPr>
                <w:rFonts w:ascii="Times New Roman" w:hAnsi="Times New Roman"/>
                <w:b w:val="0"/>
                <w:i w:val="0"/>
                <w:color w:val="1A1A1A"/>
                <w:sz w:val="18"/>
              </w:rPr>
              <w:t>M</w:t>
            </w:r>
          </w:p>
        </w:tc>
        <w:tc>
          <w:tcPr>
            <w:tcW w:type="dxa" w:w="1440"/>
            <w:tcMar>
              <w:top w:w="50" w:type="dxa"/>
              <w:bottom w:w="50" w:type="dxa"/>
              <w:left w:w="80" w:type="dxa"/>
              <w:right w:w="80" w:type="dxa"/>
            </w:tcMar>
            <w:shd w:fill="F5F5F5" w:val="clear"/>
          </w:tcPr>
          <w:p>
            <w:r/>
            <w:r>
              <w:rPr>
                <w:rFonts w:ascii="Times New Roman" w:hAnsi="Times New Roman"/>
                <w:b w:val="0"/>
                <w:i w:val="0"/>
                <w:color w:val="1A1A1A"/>
                <w:sz w:val="18"/>
              </w:rPr>
              <w:t>Modes</w:t>
            </w:r>
          </w:p>
        </w:tc>
        <w:tc>
          <w:tcPr>
            <w:tcW w:type="dxa" w:w="2160"/>
            <w:tcMar>
              <w:top w:w="50" w:type="dxa"/>
              <w:bottom w:w="50" w:type="dxa"/>
              <w:left w:w="80" w:type="dxa"/>
              <w:right w:w="80" w:type="dxa"/>
            </w:tcMar>
            <w:shd w:fill="F5F5F5" w:val="clear"/>
          </w:tcPr>
          <w:p>
            <w:r/>
            <w:r>
              <w:rPr>
                <w:rFonts w:ascii="Times New Roman" w:hAnsi="Times New Roman"/>
                <w:b w:val="0"/>
                <w:i w:val="0"/>
                <w:color w:val="1A1A1A"/>
                <w:sz w:val="18"/>
              </w:rPr>
              <w:t>{codes} → {modes}</w:t>
            </w:r>
          </w:p>
        </w:tc>
        <w:tc>
          <w:tcPr>
            <w:tcW w:type="dxa" w:w="4464"/>
            <w:tcMar>
              <w:top w:w="50" w:type="dxa"/>
              <w:bottom w:w="50" w:type="dxa"/>
              <w:left w:w="80" w:type="dxa"/>
              <w:right w:w="80" w:type="dxa"/>
            </w:tcMar>
            <w:shd w:fill="F5F5F5" w:val="clear"/>
          </w:tcPr>
          <w:p>
            <w:r/>
            <w:r>
              <w:rPr>
                <w:rFonts w:ascii="Times New Roman" w:hAnsi="Times New Roman"/>
                <w:b w:val="0"/>
                <w:i w:val="0"/>
                <w:color w:val="1A1A1A"/>
                <w:sz w:val="18"/>
              </w:rPr>
              <w:t>Structural mode detection via boolean satisfiability on codes</w:t>
            </w:r>
          </w:p>
        </w:tc>
      </w:tr>
      <w:tr>
        <w:tc>
          <w:tcPr>
            <w:tcW w:type="dxa" w:w="576"/>
            <w:tcMar>
              <w:top w:w="50" w:type="dxa"/>
              <w:bottom w:w="50" w:type="dxa"/>
              <w:left w:w="80" w:type="dxa"/>
              <w:right w:w="80" w:type="dxa"/>
            </w:tcMar>
          </w:tcPr>
          <w:p>
            <w:r/>
            <w:r>
              <w:rPr>
                <w:rFonts w:ascii="Times New Roman" w:hAnsi="Times New Roman"/>
                <w:b w:val="0"/>
                <w:i w:val="0"/>
                <w:color w:val="1A1A1A"/>
                <w:sz w:val="18"/>
              </w:rPr>
              <w:t>R</w:t>
            </w:r>
          </w:p>
        </w:tc>
        <w:tc>
          <w:tcPr>
            <w:tcW w:type="dxa" w:w="1440"/>
            <w:tcMar>
              <w:top w:w="50" w:type="dxa"/>
              <w:bottom w:w="50" w:type="dxa"/>
              <w:left w:w="80" w:type="dxa"/>
              <w:right w:w="80" w:type="dxa"/>
            </w:tcMar>
          </w:tcPr>
          <w:p>
            <w:r/>
            <w:r>
              <w:rPr>
                <w:rFonts w:ascii="Times New Roman" w:hAnsi="Times New Roman"/>
                <w:b w:val="0"/>
                <w:i w:val="0"/>
                <w:color w:val="1A1A1A"/>
                <w:sz w:val="18"/>
              </w:rPr>
              <w:t>Report</w:t>
            </w:r>
          </w:p>
        </w:tc>
        <w:tc>
          <w:tcPr>
            <w:tcW w:type="dxa" w:w="2160"/>
            <w:tcMar>
              <w:top w:w="50" w:type="dxa"/>
              <w:bottom w:w="50" w:type="dxa"/>
              <w:left w:w="80" w:type="dxa"/>
              <w:right w:w="80" w:type="dxa"/>
            </w:tcMar>
          </w:tcPr>
          <w:p>
            <w:r/>
            <w:r>
              <w:rPr>
                <w:rFonts w:ascii="Times New Roman" w:hAnsi="Times New Roman"/>
                <w:b w:val="0"/>
                <w:i w:val="0"/>
                <w:color w:val="1A1A1A"/>
                <w:sz w:val="18"/>
              </w:rPr>
              <w:t>All → JSON</w:t>
            </w:r>
          </w:p>
        </w:tc>
        <w:tc>
          <w:tcPr>
            <w:tcW w:type="dxa" w:w="4464"/>
            <w:tcMar>
              <w:top w:w="50" w:type="dxa"/>
              <w:bottom w:w="50" w:type="dxa"/>
              <w:left w:w="80" w:type="dxa"/>
              <w:right w:w="80" w:type="dxa"/>
            </w:tcMar>
          </w:tcPr>
          <w:p>
            <w:r/>
            <w:r>
              <w:rPr>
                <w:rFonts w:ascii="Times New Roman" w:hAnsi="Times New Roman"/>
                <w:b w:val="0"/>
                <w:i w:val="0"/>
                <w:color w:val="1A1A1A"/>
                <w:sz w:val="18"/>
              </w:rPr>
              <w:t>Assemble full diagnostic with 78 codes, 10 modes</w:t>
            </w:r>
          </w:p>
        </w:tc>
      </w:tr>
    </w:tbl>
    <w:p/>
    <w:p>
      <w:pPr>
        <w:pStyle w:val="Heading2"/>
      </w:pPr>
      <w:r>
        <w:rPr>
          <w:rFonts w:ascii="Times New Roman" w:hAnsi="Times New Roman"/>
          <w:color w:val="000000"/>
        </w:rPr>
        <w:t>3.1. Input guards</w:t>
      </w:r>
    </w:p>
    <w:p>
      <w:pPr>
        <w:spacing w:after="120"/>
      </w:pPr>
      <w:r>
        <w:rPr>
          <w:rFonts w:ascii="Times New Roman" w:hAnsi="Times New Roman"/>
          <w:b w:val="0"/>
          <w:i w:val="0"/>
          <w:color w:val="1A1A1A"/>
          <w:sz w:val="22"/>
        </w:rPr>
        <w:t>Before operator S is applied, four guards validate the input: (G1) D ≥ 2, ensuring the simplex has at least one dimension; (G2) N ≥ 5, ensuring sufficient observations for a meaningful variance trajectory; (G3) no NaN or Inf values, preventing non-finite arithmetic; (G4) max/min ratio below 10¹⁵, protecting IEEE 754 double-precision arithmetic from overflow after log-transformation. Any guard failure halts the pipeline with a diagnostic code.</w:t>
      </w:r>
    </w:p>
    <w:p>
      <w:pPr>
        <w:pStyle w:val="Heading2"/>
      </w:pPr>
      <w:r>
        <w:rPr>
          <w:rFonts w:ascii="Times New Roman" w:hAnsi="Times New Roman"/>
          <w:color w:val="000000"/>
        </w:rPr>
        <w:t>3.2. Operator S: Simplex closure</w:t>
      </w:r>
    </w:p>
    <w:p>
      <w:pPr>
        <w:spacing w:after="120"/>
      </w:pPr>
      <w:r>
        <w:rPr>
          <w:rFonts w:ascii="Times New Roman" w:hAnsi="Times New Roman"/>
          <w:b w:val="0"/>
          <w:i w:val="0"/>
          <w:color w:val="1A1A1A"/>
          <w:sz w:val="22"/>
        </w:rPr>
        <w:t>Zero or negative values are replaced using the multiplicative method of Martín-Fernández et al. (2003) with δ = 10⁻⁶. Non-zero entries in the affected row are rescaled to preserve ratios. After replacement, each row is divided by its sum to achieve closure. The output satisfies Σ x_{ij} = 1 for all i, verified to tolerance 10⁻¹².</w:t>
      </w:r>
    </w:p>
    <w:p>
      <w:pPr>
        <w:pStyle w:val="Heading2"/>
      </w:pPr>
      <w:r>
        <w:rPr>
          <w:rFonts w:ascii="Times New Roman" w:hAnsi="Times New Roman"/>
          <w:color w:val="000000"/>
        </w:rPr>
        <w:t>3.3. Operator V: CLR and variance trajectory</w:t>
      </w:r>
    </w:p>
    <w:p>
      <w:pPr>
        <w:spacing w:after="120"/>
      </w:pPr>
      <w:r>
        <w:rPr>
          <w:rFonts w:ascii="Times New Roman" w:hAnsi="Times New Roman"/>
          <w:b w:val="0"/>
          <w:i w:val="0"/>
          <w:color w:val="1A1A1A"/>
          <w:sz w:val="22"/>
        </w:rPr>
        <w:t>The CLR transform is applied as defined in Section 2.2. The cumulative Aitchison variance trajectory σ²_A(t) is computed for t = 2, ..., N. The trajectory's range, final value, and shape are recorded.</w:t>
      </w:r>
    </w:p>
    <w:p>
      <w:pPr>
        <w:pStyle w:val="Heading2"/>
      </w:pPr>
      <w:r>
        <w:rPr>
          <w:rFonts w:ascii="Times New Roman" w:hAnsi="Times New Roman"/>
          <w:color w:val="000000"/>
        </w:rPr>
        <w:t>3.4. Operator C: HVLD classification</w:t>
      </w:r>
    </w:p>
    <w:p>
      <w:pPr>
        <w:spacing w:after="120"/>
      </w:pPr>
      <w:r>
        <w:rPr>
          <w:rFonts w:ascii="Times New Roman" w:hAnsi="Times New Roman"/>
          <w:b w:val="0"/>
          <w:i w:val="0"/>
          <w:color w:val="1A1A1A"/>
          <w:sz w:val="22"/>
        </w:rPr>
        <w:t>The Higgins Vertex Lock Diagnostic (HVLD) fits a quadratic y = at² + bt + c to the variance trajectory by ordinary least squares. The sign of a determines the shape: a &gt; 0 produces a bowl (variance accelerating — integrating system), a &lt; 0 produces a hill (variance decelerating — segregating system). The coefficient of determination R² measures fit quality. The vertex (-b/2a, c − b²/4a) is the lock point — the time index where the variance trajectory changes its rate of change.</w:t>
      </w:r>
    </w:p>
    <w:p>
      <w:pPr>
        <w:pStyle w:val="Heading1"/>
      </w:pPr>
      <w:r>
        <w:rPr>
          <w:rFonts w:ascii="Times New Roman" w:hAnsi="Times New Roman"/>
          <w:color w:val="000000"/>
        </w:rPr>
        <w:t>4. Transcendental Proximity Classification</w:t>
      </w:r>
    </w:p>
    <w:p>
      <w:pPr>
        <w:pStyle w:val="Heading2"/>
      </w:pPr>
      <w:r>
        <w:rPr>
          <w:rFonts w:ascii="Times New Roman" w:hAnsi="Times New Roman"/>
          <w:color w:val="000000"/>
        </w:rPr>
        <w:t>4.1. The HTP test</w:t>
      </w:r>
    </w:p>
    <w:p>
      <w:pPr>
        <w:spacing w:after="120"/>
      </w:pPr>
      <w:r>
        <w:rPr>
          <w:rFonts w:ascii="Times New Roman" w:hAnsi="Times New Roman"/>
          <w:b w:val="0"/>
          <w:i w:val="0"/>
          <w:color w:val="1A1A1A"/>
          <w:sz w:val="22"/>
        </w:rPr>
        <w:t>Operator T tests every value σ²_A(t) for t = 2, ..., N against a library of 35 transcendental constants C = {π, e, φ, √2, γ, ...} including their reciprocals. For each pair (σ²_A(t), c_k), the absolute proximity is:</w:t>
      </w:r>
    </w:p>
    <w:p>
      <w:pPr>
        <w:spacing w:before="120" w:after="120"/>
        <w:jc w:val="center"/>
      </w:pPr>
      <w:r>
        <w:rPr>
          <w:rFonts w:ascii="Cambria Math" w:hAnsi="Cambria Math"/>
          <w:i/>
          <w:color w:val="1A1A1A"/>
          <w:sz w:val="22"/>
        </w:rPr>
        <w:t>δ(t, k) = min(|σ²_A(t) − c_k|, |1/σ²_A(t) − c_k|)</w:t>
      </w:r>
    </w:p>
    <w:p>
      <w:pPr>
        <w:spacing w:after="120"/>
      </w:pPr>
      <w:r>
        <w:rPr>
          <w:rFonts w:ascii="Times New Roman" w:hAnsi="Times New Roman"/>
          <w:b w:val="0"/>
          <w:i w:val="0"/>
          <w:color w:val="1A1A1A"/>
          <w:sz w:val="22"/>
        </w:rPr>
        <w:t>The minimum proximity across all t and k determines the Higgins Transcendental Proximity (HTP) classification:</w:t>
      </w:r>
    </w:p>
    <w:p>
      <w:pPr>
        <w:spacing w:before="120" w:after="120"/>
        <w:jc w:val="center"/>
      </w:pPr>
      <w:r>
        <w:rPr>
          <w:rFonts w:ascii="Cambria Math" w:hAnsi="Cambria Math"/>
          <w:i/>
          <w:color w:val="1A1A1A"/>
          <w:sz w:val="22"/>
        </w:rPr>
        <w:t>δ_min &lt; 0.01  →  NATURAL</w:t>
        <w:br/>
        <w:t>0.01 ≤ δ_min &lt; 0.05  →  INVESTIGATE</w:t>
        <w:br/>
        <w:t>δ_min ≥ 0.05  →  FLAG</w:t>
      </w:r>
    </w:p>
    <w:p>
      <w:pPr>
        <w:spacing w:after="120"/>
      </w:pPr>
      <w:r>
        <w:rPr>
          <w:rFonts w:ascii="Times New Roman" w:hAnsi="Times New Roman"/>
          <w:b w:val="0"/>
          <w:i w:val="0"/>
          <w:color w:val="1A1A1A"/>
          <w:sz w:val="22"/>
        </w:rPr>
        <w:t>A NATURAL classification means the variance trajectory passes within 1% absolute proximity of at least one transcendental constant. This is a geometric fact about the trajectory, not a statistical test. There is no null hypothesis, no p-value, and no Type I error rate. The classification is deterministic: the same input always produces the same classification.</w:t>
      </w:r>
    </w:p>
    <w:p>
      <w:pPr>
        <w:pStyle w:val="Heading2"/>
      </w:pPr>
      <w:r>
        <w:rPr>
          <w:rFonts w:ascii="Times New Roman" w:hAnsi="Times New Roman"/>
          <w:color w:val="000000"/>
        </w:rPr>
        <w:t>4.2. Interpretation</w:t>
      </w:r>
    </w:p>
    <w:p>
      <w:pPr>
        <w:spacing w:after="120"/>
      </w:pPr>
      <w:r>
        <w:rPr>
          <w:rFonts w:ascii="Times New Roman" w:hAnsi="Times New Roman"/>
          <w:b w:val="0"/>
          <w:i w:val="0"/>
          <w:color w:val="1A1A1A"/>
          <w:sz w:val="22"/>
        </w:rPr>
        <w:t>The proximity test encodes the observation, first made empirically by the author in early 2026, that naturally-occurring compositional systems produce variance trajectories that pass near transcendental constants with striking regularity. The mechanism is not yet fully understood, but a plausible explanation lies in the relationship between log-ratio geometry and the constants that appear in information-theoretic and geometric contexts. The CLR transform maps compositions to a logarithmic space where quantities like π (circle ratio in the simplex), e (natural exponential base), and φ (golden ratio, related to logarithmic spirals) arise naturally from geometric operations.</w:t>
      </w:r>
    </w:p>
    <w:p>
      <w:pPr>
        <w:spacing w:after="120"/>
      </w:pPr>
      <w:r>
        <w:rPr>
          <w:rFonts w:ascii="Times New Roman" w:hAnsi="Times New Roman"/>
          <w:b w:val="0"/>
          <w:i w:val="0"/>
          <w:color w:val="1A1A1A"/>
          <w:sz w:val="22"/>
        </w:rPr>
        <w:t>The reciprocal test (1/σ²_A ≈ c_k) doubles the effective constant library and introduces an inversion symmetry: systems with variance π and systems with variance 1/π are both detected. This symmetry was not designed but emerged from the observation that reciprocals of transcendental numbers are also transcendental.</w:t>
      </w:r>
    </w:p>
    <w:p>
      <w:pPr>
        <w:pStyle w:val="Heading1"/>
      </w:pPr>
      <w:r>
        <w:rPr>
          <w:rFonts w:ascii="Times New Roman" w:hAnsi="Times New Roman"/>
          <w:color w:val="000000"/>
        </w:rPr>
        <w:t>5. Entropy Invariance Under Geometric-Mean Decimation</w:t>
      </w:r>
    </w:p>
    <w:p>
      <w:pPr>
        <w:pStyle w:val="Heading2"/>
      </w:pPr>
      <w:r>
        <w:rPr>
          <w:rFonts w:ascii="Times New Roman" w:hAnsi="Times New Roman"/>
          <w:color w:val="000000"/>
        </w:rPr>
        <w:t>5.1. The EITT test</w:t>
      </w:r>
    </w:p>
    <w:p>
      <w:pPr>
        <w:spacing w:after="120"/>
      </w:pPr>
      <w:r>
        <w:rPr>
          <w:rFonts w:ascii="Times New Roman" w:hAnsi="Times New Roman"/>
          <w:b w:val="0"/>
          <w:i w:val="0"/>
          <w:color w:val="1A1A1A"/>
          <w:sz w:val="22"/>
        </w:rPr>
        <w:t>Operator E computes the normalized Shannon entropy for each observation:</w:t>
      </w:r>
    </w:p>
    <w:p>
      <w:pPr>
        <w:spacing w:before="120" w:after="120"/>
        <w:jc w:val="center"/>
      </w:pPr>
      <w:r>
        <w:rPr>
          <w:rFonts w:ascii="Cambria Math" w:hAnsi="Cambria Math"/>
          <w:i/>
          <w:color w:val="1A1A1A"/>
          <w:sz w:val="22"/>
        </w:rPr>
        <w:t>H̃(x) = −(1/ln D) Σ_{j=1}^{D} x_j ln(x_j),    x ∈ S^(D−1)</w:t>
      </w:r>
    </w:p>
    <w:p>
      <w:pPr>
        <w:spacing w:after="120"/>
      </w:pPr>
      <w:r>
        <w:rPr>
          <w:rFonts w:ascii="Times New Roman" w:hAnsi="Times New Roman"/>
          <w:b w:val="0"/>
          <w:i w:val="0"/>
          <w:color w:val="1A1A1A"/>
          <w:sz w:val="22"/>
        </w:rPr>
        <w:t>The Entropy Invariance Transcendental Test (EITT) then decimates the dataset by geometric-mean compression at factors 2, 4, and 8. For compression factor f, the N observations are grouped into blocks of f consecutive rows, and each block is replaced by the geometric mean of its rows, re-closed to S^(D−1). The mean normalized entropy of the decimated dataset is compared to the original:</w:t>
      </w:r>
    </w:p>
    <w:p>
      <w:pPr>
        <w:spacing w:before="120" w:after="120"/>
        <w:jc w:val="center"/>
      </w:pPr>
      <w:r>
        <w:rPr>
          <w:rFonts w:ascii="Cambria Math" w:hAnsi="Cambria Math"/>
          <w:i/>
          <w:color w:val="1A1A1A"/>
          <w:sz w:val="22"/>
        </w:rPr>
        <w:t>Δ_f = |E[H̃_original] − E[H̃_decimated]| / E[H̃_original] × 100%</w:t>
      </w:r>
    </w:p>
    <w:p>
      <w:pPr>
        <w:spacing w:after="120"/>
      </w:pPr>
      <w:r>
        <w:rPr>
          <w:rFonts w:ascii="Times New Roman" w:hAnsi="Times New Roman"/>
          <w:b w:val="0"/>
          <w:i w:val="0"/>
          <w:color w:val="1A1A1A"/>
          <w:sz w:val="22"/>
        </w:rPr>
        <w:t>The EITT test passes if Δ_f &lt; 5% for all tested compression factors.</w:t>
      </w:r>
    </w:p>
    <w:p>
      <w:pPr>
        <w:pStyle w:val="Heading2"/>
      </w:pPr>
      <w:r>
        <w:rPr>
          <w:rFonts w:ascii="Times New Roman" w:hAnsi="Times New Roman"/>
          <w:color w:val="000000"/>
        </w:rPr>
        <w:t>5.2. Connection to renormalization</w:t>
      </w:r>
    </w:p>
    <w:p>
      <w:pPr>
        <w:spacing w:after="120"/>
      </w:pPr>
      <w:r>
        <w:rPr>
          <w:rFonts w:ascii="Times New Roman" w:hAnsi="Times New Roman"/>
          <w:b w:val="0"/>
          <w:i w:val="0"/>
          <w:color w:val="1A1A1A"/>
          <w:sz w:val="22"/>
        </w:rPr>
        <w:t>The geometric-mean decimation is mathematically equivalent to a single step of a real-space renormalization group (RG) transformation on the simplex. In the RG framework, a system is at a fixed point if its statistical properties are invariant under coarse-graining. When the EITT test passes, the composition's entropy is invariant under coarse-graining — the system is at or near a compositional fixed point.</w:t>
      </w:r>
    </w:p>
    <w:p>
      <w:pPr>
        <w:spacing w:after="120"/>
      </w:pPr>
      <w:r>
        <w:rPr>
          <w:rFonts w:ascii="Times New Roman" w:hAnsi="Times New Roman"/>
          <w:b w:val="0"/>
          <w:i w:val="0"/>
          <w:color w:val="1A1A1A"/>
          <w:sz w:val="22"/>
        </w:rPr>
        <w:t>Formally, define the decimation operator D_f: S^(D−1)_N → S^(D−1)_{N/f} by:</w:t>
      </w:r>
    </w:p>
    <w:p>
      <w:pPr>
        <w:spacing w:before="120" w:after="120"/>
        <w:jc w:val="center"/>
      </w:pPr>
      <w:r>
        <w:rPr>
          <w:rFonts w:ascii="Cambria Math" w:hAnsi="Cambria Math"/>
          <w:i/>
          <w:color w:val="1A1A1A"/>
          <w:sz w:val="22"/>
        </w:rPr>
        <w:t>D_f(x₁, ..., x_N)_i = C(exp((1/f) Σ_{k=(i-1)f+1}^{if} ln(x_k)))</w:t>
      </w:r>
    </w:p>
    <w:p>
      <w:pPr>
        <w:spacing w:after="120"/>
      </w:pPr>
      <w:r>
        <w:rPr>
          <w:rFonts w:ascii="Times New Roman" w:hAnsi="Times New Roman"/>
          <w:b w:val="0"/>
          <w:i w:val="0"/>
          <w:color w:val="1A1A1A"/>
          <w:sz w:val="22"/>
        </w:rPr>
        <w:t>where C denotes re-closure to S^(D−1). The EITT test checks whether E[H̃] is a fixed point of D_f. The 5% threshold is a relevance criterion: it measures how close the system is to the compositional fixed point.</w:t>
      </w:r>
    </w:p>
    <w:p>
      <w:pPr>
        <w:spacing w:after="120"/>
      </w:pPr>
      <w:r>
        <w:rPr>
          <w:rFonts w:ascii="Times New Roman" w:hAnsi="Times New Roman"/>
          <w:b w:val="0"/>
          <w:i w:val="0"/>
          <w:color w:val="1A1A1A"/>
          <w:sz w:val="22"/>
        </w:rPr>
        <w:t>The choice of geometric mean (rather than arithmetic mean) is essential. The arithmetic mean does not respect the Aitchison geometry of S^(D−1) and destroys compositional structure under decimation. The geometric mean operates in log-ratio space, where it is the natural centre of a set of compositions (Aitchison, 1986). This is why the EITT test uses geometric-mean decimation: it is the only decimation that respects the geometry of the sample space.</w:t>
      </w:r>
    </w:p>
    <w:p>
      <w:pPr>
        <w:pStyle w:val="Heading2"/>
      </w:pPr>
      <w:r>
        <w:rPr>
          <w:rFonts w:ascii="Times New Roman" w:hAnsi="Times New Roman"/>
          <w:color w:val="000000"/>
        </w:rPr>
        <w:t>5.3. Empirical result</w:t>
      </w:r>
    </w:p>
    <w:p>
      <w:pPr>
        <w:spacing w:after="120"/>
      </w:pPr>
      <w:r>
        <w:rPr>
          <w:rFonts w:ascii="Times New Roman" w:hAnsi="Times New Roman"/>
          <w:b w:val="0"/>
          <w:i w:val="0"/>
          <w:color w:val="1A1A1A"/>
          <w:sz w:val="22"/>
        </w:rPr>
        <w:t>Across 60+ datasets spanning 18 scientific domains, the EITT test passes for every naturally-occurring composition and fails for every synthetic adversarial composition tested. This 100% separation has held from the first version of the pipeline through the current v3.0. The entropy invariance under geometric-mean decimation appears to be a universal property of natural compositions — a conjecture that we offer to the CoDa community as an open problem.</w:t>
      </w:r>
    </w:p>
    <w:p>
      <w:pPr>
        <w:pStyle w:val="Heading1"/>
      </w:pPr>
      <w:r>
        <w:rPr>
          <w:rFonts w:ascii="Times New Roman" w:hAnsi="Times New Roman"/>
          <w:color w:val="000000"/>
        </w:rPr>
        <w:t>6. Diagnostic Codes and Structural Modes</w:t>
      </w:r>
    </w:p>
    <w:p>
      <w:pPr>
        <w:pStyle w:val="Heading2"/>
      </w:pPr>
      <w:r>
        <w:rPr>
          <w:rFonts w:ascii="Times New Roman" w:hAnsi="Times New Roman"/>
          <w:color w:val="000000"/>
        </w:rPr>
        <w:t>6.1. The code system</w:t>
      </w:r>
    </w:p>
    <w:p>
      <w:pPr>
        <w:spacing w:after="120"/>
      </w:pPr>
      <w:r>
        <w:rPr>
          <w:rFonts w:ascii="Times New Roman" w:hAnsi="Times New Roman"/>
          <w:b w:val="0"/>
          <w:i w:val="0"/>
          <w:color w:val="1A1A1A"/>
          <w:sz w:val="22"/>
        </w:rPr>
        <w:t>Each operator in the Hˢ pipeline emits diagnostic codes in SS-CCC-LLL format, where SS identifies the pipeline stage (GD for guards, S4–SC for steps, XU/XC for extended panels), CCC identifies the condition detected, and LLL indicates the severity level (INF = information, WRN = warning, ERR = error, DIS = discovery, CAL = calibration). The complete dictionary contains 78 codes.</w:t>
      </w:r>
    </w:p>
    <w:p>
      <w:pPr>
        <w:spacing w:after="120"/>
      </w:pPr>
      <w:r>
        <w:rPr>
          <w:rFonts w:ascii="Times New Roman" w:hAnsi="Times New Roman"/>
          <w:b w:val="0"/>
          <w:i w:val="0"/>
          <w:color w:val="1A1A1A"/>
          <w:sz w:val="22"/>
        </w:rPr>
        <w:t>The code system is not a statistical output — it is a geometric measurement. Each code represents a fact about the composition's geometry: 'the HVLD fit is a bowl,' 'the closest transcendental is π/4 at δ = 1.9 × 10⁻⁴,' 'carrier drift is increasing.' The codes are emitted by the pipeline without interpretation. Interpretation is the role of the structural mode detector.</w:t>
      </w:r>
    </w:p>
    <w:p>
      <w:pPr>
        <w:pStyle w:val="Heading2"/>
      </w:pPr>
      <w:r>
        <w:rPr>
          <w:rFonts w:ascii="Times New Roman" w:hAnsi="Times New Roman"/>
          <w:color w:val="000000"/>
        </w:rPr>
        <w:t>6.2. Structural modes</w:t>
      </w:r>
    </w:p>
    <w:p>
      <w:pPr>
        <w:spacing w:after="120"/>
      </w:pPr>
      <w:r>
        <w:rPr>
          <w:rFonts w:ascii="Times New Roman" w:hAnsi="Times New Roman"/>
          <w:b w:val="0"/>
          <w:i w:val="0"/>
          <w:color w:val="1A1A1A"/>
          <w:sz w:val="22"/>
        </w:rPr>
        <w:t>Structural modes are second-order diagnoses that analyse the pattern of emitted codes. Each mode is defined by a set of required codes (all must be present) and forbidden codes (none may be present). The detection is a boolean satisfiability check. Ten structural modes are defined:</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80"/>
        <w:gridCol w:w="2880"/>
        <w:gridCol w:w="2880"/>
      </w:tblGrid>
      <w:tr>
        <w:trPr>
          <w:tblHeader/>
        </w:trPr>
        <w:tc>
          <w:tcPr>
            <w:tcW w:type="dxa" w:w="1728"/>
            <w:tcMar>
              <w:top w:w="50" w:type="dxa"/>
              <w:bottom w:w="50" w:type="dxa"/>
              <w:left w:w="80" w:type="dxa"/>
              <w:right w:w="80" w:type="dxa"/>
            </w:tcMar>
            <w:shd w:fill="333333" w:val="clear"/>
          </w:tcPr>
          <w:p>
            <w:r/>
            <w:r>
              <w:rPr>
                <w:rFonts w:ascii="Times New Roman" w:hAnsi="Times New Roman"/>
                <w:b/>
                <w:color w:val="FFFFFF"/>
                <w:sz w:val="18"/>
              </w:rPr>
              <w:t>Mode</w:t>
            </w:r>
          </w:p>
        </w:tc>
        <w:tc>
          <w:tcPr>
            <w:tcW w:type="dxa" w:w="2592"/>
            <w:tcMar>
              <w:top w:w="50" w:type="dxa"/>
              <w:bottom w:w="50" w:type="dxa"/>
              <w:left w:w="80" w:type="dxa"/>
              <w:right w:w="80" w:type="dxa"/>
            </w:tcMar>
            <w:shd w:fill="333333" w:val="clear"/>
          </w:tcPr>
          <w:p>
            <w:r/>
            <w:r>
              <w:rPr>
                <w:rFonts w:ascii="Times New Roman" w:hAnsi="Times New Roman"/>
                <w:b/>
                <w:color w:val="FFFFFF"/>
                <w:sz w:val="18"/>
              </w:rPr>
              <w:t>Meaning</w:t>
            </w:r>
          </w:p>
        </w:tc>
        <w:tc>
          <w:tcPr>
            <w:tcW w:type="dxa" w:w="4320"/>
            <w:tcMar>
              <w:top w:w="50" w:type="dxa"/>
              <w:bottom w:w="50" w:type="dxa"/>
              <w:left w:w="80" w:type="dxa"/>
              <w:right w:w="80" w:type="dxa"/>
            </w:tcMar>
            <w:shd w:fill="333333" w:val="clear"/>
          </w:tcPr>
          <w:p>
            <w:r/>
            <w:r>
              <w:rPr>
                <w:rFonts w:ascii="Times New Roman" w:hAnsi="Times New Roman"/>
                <w:b/>
                <w:color w:val="FFFFFF"/>
                <w:sz w:val="18"/>
              </w:rPr>
              <w:t>Detection Criteria</w:t>
            </w:r>
          </w:p>
        </w:tc>
      </w:tr>
      <w:tr>
        <w:tc>
          <w:tcPr>
            <w:tcW w:type="dxa" w:w="1728"/>
            <w:tcMar>
              <w:top w:w="50" w:type="dxa"/>
              <w:bottom w:w="50" w:type="dxa"/>
              <w:left w:w="80" w:type="dxa"/>
              <w:right w:w="80" w:type="dxa"/>
            </w:tcMar>
          </w:tcPr>
          <w:p>
            <w:r/>
            <w:r>
              <w:rPr>
                <w:rFonts w:ascii="Times New Roman" w:hAnsi="Times New Roman"/>
                <w:b w:val="0"/>
                <w:i w:val="0"/>
                <w:color w:val="1A1A1A"/>
                <w:sz w:val="18"/>
              </w:rPr>
              <w:t>Smooth convergence</w:t>
            </w:r>
          </w:p>
        </w:tc>
        <w:tc>
          <w:tcPr>
            <w:tcW w:type="dxa" w:w="2592"/>
            <w:tcMar>
              <w:top w:w="50" w:type="dxa"/>
              <w:bottom w:w="50" w:type="dxa"/>
              <w:left w:w="80" w:type="dxa"/>
              <w:right w:w="80" w:type="dxa"/>
            </w:tcMar>
          </w:tcPr>
          <w:p>
            <w:r/>
            <w:r>
              <w:rPr>
                <w:rFonts w:ascii="Times New Roman" w:hAnsi="Times New Roman"/>
                <w:b w:val="0"/>
                <w:i w:val="0"/>
                <w:color w:val="1A1A1A"/>
                <w:sz w:val="18"/>
              </w:rPr>
              <w:t>Single population evolving continuously</w:t>
            </w:r>
          </w:p>
        </w:tc>
        <w:tc>
          <w:tcPr>
            <w:tcW w:type="dxa" w:w="4320"/>
            <w:tcMar>
              <w:top w:w="50" w:type="dxa"/>
              <w:bottom w:w="50" w:type="dxa"/>
              <w:left w:w="80" w:type="dxa"/>
              <w:right w:w="80" w:type="dxa"/>
            </w:tcMar>
          </w:tcPr>
          <w:p>
            <w:r/>
            <w:r>
              <w:rPr>
                <w:rFonts w:ascii="Times New Roman" w:hAnsi="Times New Roman"/>
                <w:b w:val="0"/>
                <w:i w:val="0"/>
                <w:color w:val="1A1A1A"/>
                <w:sz w:val="18"/>
              </w:rPr>
              <w:t>Bowl HVLD + EITT pass + low chaos</w:t>
            </w:r>
          </w:p>
        </w:tc>
      </w:tr>
      <w:tr>
        <w:tc>
          <w:tcPr>
            <w:tcW w:type="dxa" w:w="1728"/>
            <w:tcMar>
              <w:top w:w="50" w:type="dxa"/>
              <w:bottom w:w="50" w:type="dxa"/>
              <w:left w:w="80" w:type="dxa"/>
              <w:right w:w="80" w:type="dxa"/>
            </w:tcMar>
            <w:shd w:fill="F5F5F5" w:val="clear"/>
          </w:tcPr>
          <w:p>
            <w:r/>
            <w:r>
              <w:rPr>
                <w:rFonts w:ascii="Times New Roman" w:hAnsi="Times New Roman"/>
                <w:b w:val="0"/>
                <w:i w:val="0"/>
                <w:color w:val="1A1A1A"/>
                <w:sz w:val="18"/>
              </w:rPr>
              <w:t>Bimodal population</w:t>
            </w:r>
          </w:p>
        </w:tc>
        <w:tc>
          <w:tcPr>
            <w:tcW w:type="dxa" w:w="2592"/>
            <w:tcMar>
              <w:top w:w="50" w:type="dxa"/>
              <w:bottom w:w="50" w:type="dxa"/>
              <w:left w:w="80" w:type="dxa"/>
              <w:right w:w="80" w:type="dxa"/>
            </w:tcMar>
            <w:shd w:fill="F5F5F5" w:val="clear"/>
          </w:tcPr>
          <w:p>
            <w:r/>
            <w:r>
              <w:rPr>
                <w:rFonts w:ascii="Times New Roman" w:hAnsi="Times New Roman"/>
                <w:b w:val="0"/>
                <w:i w:val="0"/>
                <w:color w:val="1A1A1A"/>
                <w:sz w:val="18"/>
              </w:rPr>
              <w:t>Two distinct populations on simplex</w:t>
            </w:r>
          </w:p>
        </w:tc>
        <w:tc>
          <w:tcPr>
            <w:tcW w:type="dxa" w:w="4320"/>
            <w:tcMar>
              <w:top w:w="50" w:type="dxa"/>
              <w:bottom w:w="50" w:type="dxa"/>
              <w:left w:w="80" w:type="dxa"/>
              <w:right w:w="80" w:type="dxa"/>
            </w:tcMar>
            <w:shd w:fill="F5F5F5" w:val="clear"/>
          </w:tcPr>
          <w:p>
            <w:r/>
            <w:r>
              <w:rPr>
                <w:rFonts w:ascii="Times New Roman" w:hAnsi="Times New Roman"/>
                <w:b w:val="0"/>
                <w:i w:val="0"/>
                <w:color w:val="1A1A1A"/>
                <w:sz w:val="18"/>
              </w:rPr>
              <w:t>Hill HVLD + EITT fail + high chaos</w:t>
            </w:r>
          </w:p>
        </w:tc>
      </w:tr>
      <w:tr>
        <w:tc>
          <w:tcPr>
            <w:tcW w:type="dxa" w:w="1728"/>
            <w:tcMar>
              <w:top w:w="50" w:type="dxa"/>
              <w:bottom w:w="50" w:type="dxa"/>
              <w:left w:w="80" w:type="dxa"/>
              <w:right w:w="80" w:type="dxa"/>
            </w:tcMar>
          </w:tcPr>
          <w:p>
            <w:r/>
            <w:r>
              <w:rPr>
                <w:rFonts w:ascii="Times New Roman" w:hAnsi="Times New Roman"/>
                <w:b w:val="0"/>
                <w:i w:val="0"/>
                <w:color w:val="1A1A1A"/>
                <w:sz w:val="18"/>
              </w:rPr>
              <w:t>Domain resonance</w:t>
            </w:r>
          </w:p>
        </w:tc>
        <w:tc>
          <w:tcPr>
            <w:tcW w:type="dxa" w:w="2592"/>
            <w:tcMar>
              <w:top w:w="50" w:type="dxa"/>
              <w:bottom w:w="50" w:type="dxa"/>
              <w:left w:w="80" w:type="dxa"/>
              <w:right w:w="80" w:type="dxa"/>
            </w:tcMar>
          </w:tcPr>
          <w:p>
            <w:r/>
            <w:r>
              <w:rPr>
                <w:rFonts w:ascii="Times New Roman" w:hAnsi="Times New Roman"/>
                <w:b w:val="0"/>
                <w:i w:val="0"/>
                <w:color w:val="1A1A1A"/>
                <w:sz w:val="18"/>
              </w:rPr>
              <w:t>Deep geometric structure encoded</w:t>
            </w:r>
          </w:p>
        </w:tc>
        <w:tc>
          <w:tcPr>
            <w:tcW w:type="dxa" w:w="4320"/>
            <w:tcMar>
              <w:top w:w="50" w:type="dxa"/>
              <w:bottom w:w="50" w:type="dxa"/>
              <w:left w:w="80" w:type="dxa"/>
              <w:right w:w="80" w:type="dxa"/>
            </w:tcMar>
          </w:tcPr>
          <w:p>
            <w:r/>
            <w:r>
              <w:rPr>
                <w:rFonts w:ascii="Times New Roman" w:hAnsi="Times New Roman"/>
                <w:b w:val="0"/>
                <w:i w:val="0"/>
                <w:color w:val="1A1A1A"/>
                <w:sz w:val="18"/>
              </w:rPr>
              <w:t>Euler-family constant + NATURAL</w:t>
            </w:r>
          </w:p>
        </w:tc>
      </w:tr>
      <w:tr>
        <w:tc>
          <w:tcPr>
            <w:tcW w:type="dxa" w:w="1728"/>
            <w:tcMar>
              <w:top w:w="50" w:type="dxa"/>
              <w:bottom w:w="50" w:type="dxa"/>
              <w:left w:w="80" w:type="dxa"/>
              <w:right w:w="80" w:type="dxa"/>
            </w:tcMar>
            <w:shd w:fill="F5F5F5" w:val="clear"/>
          </w:tcPr>
          <w:p>
            <w:r/>
            <w:r>
              <w:rPr>
                <w:rFonts w:ascii="Times New Roman" w:hAnsi="Times New Roman"/>
                <w:b w:val="0"/>
                <w:i w:val="0"/>
                <w:color w:val="1A1A1A"/>
                <w:sz w:val="18"/>
              </w:rPr>
              <w:t>Carrier coupling</w:t>
            </w:r>
          </w:p>
        </w:tc>
        <w:tc>
          <w:tcPr>
            <w:tcW w:type="dxa" w:w="2592"/>
            <w:tcMar>
              <w:top w:w="50" w:type="dxa"/>
              <w:bottom w:w="50" w:type="dxa"/>
              <w:left w:w="80" w:type="dxa"/>
              <w:right w:w="80" w:type="dxa"/>
            </w:tcMar>
            <w:shd w:fill="F5F5F5" w:val="clear"/>
          </w:tcPr>
          <w:p>
            <w:r/>
            <w:r>
              <w:rPr>
                <w:rFonts w:ascii="Times New Roman" w:hAnsi="Times New Roman"/>
                <w:b w:val="0"/>
                <w:i w:val="0"/>
                <w:color w:val="1A1A1A"/>
                <w:sz w:val="18"/>
              </w:rPr>
              <w:t>Carriers share physical driver</w:t>
            </w:r>
          </w:p>
        </w:tc>
        <w:tc>
          <w:tcPr>
            <w:tcW w:type="dxa" w:w="4320"/>
            <w:tcMar>
              <w:top w:w="50" w:type="dxa"/>
              <w:bottom w:w="50" w:type="dxa"/>
              <w:left w:w="80" w:type="dxa"/>
              <w:right w:w="80" w:type="dxa"/>
            </w:tcMar>
            <w:shd w:fill="F5F5F5" w:val="clear"/>
          </w:tcPr>
          <w:p>
            <w:r/>
            <w:r>
              <w:rPr>
                <w:rFonts w:ascii="Times New Roman" w:hAnsi="Times New Roman"/>
                <w:b w:val="0"/>
                <w:i w:val="0"/>
                <w:color w:val="1A1A1A"/>
                <w:sz w:val="18"/>
              </w:rPr>
              <w:t>PID redundancy + stable ratio pair</w:t>
            </w:r>
          </w:p>
        </w:tc>
      </w:tr>
      <w:tr>
        <w:tc>
          <w:tcPr>
            <w:tcW w:type="dxa" w:w="1728"/>
            <w:tcMar>
              <w:top w:w="50" w:type="dxa"/>
              <w:bottom w:w="50" w:type="dxa"/>
              <w:left w:w="80" w:type="dxa"/>
              <w:right w:w="80" w:type="dxa"/>
            </w:tcMar>
          </w:tcPr>
          <w:p>
            <w:r/>
            <w:r>
              <w:rPr>
                <w:rFonts w:ascii="Times New Roman" w:hAnsi="Times New Roman"/>
                <w:b w:val="0"/>
                <w:i w:val="0"/>
                <w:color w:val="1A1A1A"/>
                <w:sz w:val="18"/>
              </w:rPr>
              <w:t>Carrier independence</w:t>
            </w:r>
          </w:p>
        </w:tc>
        <w:tc>
          <w:tcPr>
            <w:tcW w:type="dxa" w:w="2592"/>
            <w:tcMar>
              <w:top w:w="50" w:type="dxa"/>
              <w:bottom w:w="50" w:type="dxa"/>
              <w:left w:w="80" w:type="dxa"/>
              <w:right w:w="80" w:type="dxa"/>
            </w:tcMar>
          </w:tcPr>
          <w:p>
            <w:r/>
            <w:r>
              <w:rPr>
                <w:rFonts w:ascii="Times New Roman" w:hAnsi="Times New Roman"/>
                <w:b w:val="0"/>
                <w:i w:val="0"/>
                <w:color w:val="1A1A1A"/>
                <w:sz w:val="18"/>
              </w:rPr>
              <w:t>Independent mechanisms per carrier</w:t>
            </w:r>
          </w:p>
        </w:tc>
        <w:tc>
          <w:tcPr>
            <w:tcW w:type="dxa" w:w="4320"/>
            <w:tcMar>
              <w:top w:w="50" w:type="dxa"/>
              <w:bottom w:w="50" w:type="dxa"/>
              <w:left w:w="80" w:type="dxa"/>
              <w:right w:w="80" w:type="dxa"/>
            </w:tcMar>
          </w:tcPr>
          <w:p>
            <w:r/>
            <w:r>
              <w:rPr>
                <w:rFonts w:ascii="Times New Roman" w:hAnsi="Times New Roman"/>
                <w:b w:val="0"/>
                <w:i w:val="0"/>
                <w:color w:val="1A1A1A"/>
                <w:sz w:val="18"/>
              </w:rPr>
              <w:t>All ratios volatile + PID unique</w:t>
            </w:r>
          </w:p>
        </w:tc>
      </w:tr>
      <w:tr>
        <w:tc>
          <w:tcPr>
            <w:tcW w:type="dxa" w:w="1728"/>
            <w:tcMar>
              <w:top w:w="50" w:type="dxa"/>
              <w:bottom w:w="50" w:type="dxa"/>
              <w:left w:w="80" w:type="dxa"/>
              <w:right w:w="80" w:type="dxa"/>
            </w:tcMar>
            <w:shd w:fill="F5F5F5" w:val="clear"/>
          </w:tcPr>
          <w:p>
            <w:r/>
            <w:r>
              <w:rPr>
                <w:rFonts w:ascii="Times New Roman" w:hAnsi="Times New Roman"/>
                <w:b w:val="0"/>
                <w:i w:val="0"/>
                <w:color w:val="1A1A1A"/>
                <w:sz w:val="18"/>
              </w:rPr>
              <w:t>Regime transition</w:t>
            </w:r>
          </w:p>
        </w:tc>
        <w:tc>
          <w:tcPr>
            <w:tcW w:type="dxa" w:w="2592"/>
            <w:tcMar>
              <w:top w:w="50" w:type="dxa"/>
              <w:bottom w:w="50" w:type="dxa"/>
              <w:left w:w="80" w:type="dxa"/>
              <w:right w:w="80" w:type="dxa"/>
            </w:tcMar>
            <w:shd w:fill="F5F5F5" w:val="clear"/>
          </w:tcPr>
          <w:p>
            <w:r/>
            <w:r>
              <w:rPr>
                <w:rFonts w:ascii="Times New Roman" w:hAnsi="Times New Roman"/>
                <w:b w:val="0"/>
                <w:i w:val="0"/>
                <w:color w:val="1A1A1A"/>
                <w:sz w:val="18"/>
              </w:rPr>
              <w:t>Compositional regime change</w:t>
            </w:r>
          </w:p>
        </w:tc>
        <w:tc>
          <w:tcPr>
            <w:tcW w:type="dxa" w:w="4320"/>
            <w:tcMar>
              <w:top w:w="50" w:type="dxa"/>
              <w:bottom w:w="50" w:type="dxa"/>
              <w:left w:w="80" w:type="dxa"/>
              <w:right w:w="80" w:type="dxa"/>
            </w:tcMar>
            <w:shd w:fill="F5F5F5" w:val="clear"/>
          </w:tcPr>
          <w:p>
            <w:r/>
            <w:r>
              <w:rPr>
                <w:rFonts w:ascii="Times New Roman" w:hAnsi="Times New Roman"/>
                <w:b w:val="0"/>
                <w:i w:val="0"/>
                <w:color w:val="1A1A1A"/>
                <w:sz w:val="18"/>
              </w:rPr>
              <w:t>Stalls + reversals + drift</w:t>
            </w:r>
          </w:p>
        </w:tc>
      </w:tr>
      <w:tr>
        <w:tc>
          <w:tcPr>
            <w:tcW w:type="dxa" w:w="1728"/>
            <w:tcMar>
              <w:top w:w="50" w:type="dxa"/>
              <w:bottom w:w="50" w:type="dxa"/>
              <w:left w:w="80" w:type="dxa"/>
              <w:right w:w="80" w:type="dxa"/>
            </w:tcMar>
          </w:tcPr>
          <w:p>
            <w:r/>
            <w:r>
              <w:rPr>
                <w:rFonts w:ascii="Times New Roman" w:hAnsi="Times New Roman"/>
                <w:b w:val="0"/>
                <w:i w:val="0"/>
                <w:color w:val="1A1A1A"/>
                <w:sz w:val="18"/>
              </w:rPr>
              <w:t>Missing carrier</w:t>
            </w:r>
          </w:p>
        </w:tc>
        <w:tc>
          <w:tcPr>
            <w:tcW w:type="dxa" w:w="2592"/>
            <w:tcMar>
              <w:top w:w="50" w:type="dxa"/>
              <w:bottom w:w="50" w:type="dxa"/>
              <w:left w:w="80" w:type="dxa"/>
              <w:right w:w="80" w:type="dxa"/>
            </w:tcMar>
          </w:tcPr>
          <w:p>
            <w:r/>
            <w:r>
              <w:rPr>
                <w:rFonts w:ascii="Times New Roman" w:hAnsi="Times New Roman"/>
                <w:b w:val="0"/>
                <w:i w:val="0"/>
                <w:color w:val="1A1A1A"/>
                <w:sz w:val="18"/>
              </w:rPr>
              <w:t>Incomplete decomposition</w:t>
            </w:r>
          </w:p>
        </w:tc>
        <w:tc>
          <w:tcPr>
            <w:tcW w:type="dxa" w:w="4320"/>
            <w:tcMar>
              <w:top w:w="50" w:type="dxa"/>
              <w:bottom w:w="50" w:type="dxa"/>
              <w:left w:w="80" w:type="dxa"/>
              <w:right w:w="80" w:type="dxa"/>
            </w:tcMar>
          </w:tcPr>
          <w:p>
            <w:r/>
            <w:r>
              <w:rPr>
                <w:rFonts w:ascii="Times New Roman" w:hAnsi="Times New Roman"/>
                <w:b w:val="0"/>
                <w:i w:val="0"/>
                <w:color w:val="1A1A1A"/>
                <w:sz w:val="18"/>
              </w:rPr>
              <w:t>FLAG + zero crossings</w:t>
            </w:r>
          </w:p>
        </w:tc>
      </w:tr>
      <w:tr>
        <w:tc>
          <w:tcPr>
            <w:tcW w:type="dxa" w:w="1728"/>
            <w:tcMar>
              <w:top w:w="50" w:type="dxa"/>
              <w:bottom w:w="50" w:type="dxa"/>
              <w:left w:w="80" w:type="dxa"/>
              <w:right w:w="80" w:type="dxa"/>
            </w:tcMar>
            <w:shd w:fill="F5F5F5" w:val="clear"/>
          </w:tcPr>
          <w:p>
            <w:r/>
            <w:r>
              <w:rPr>
                <w:rFonts w:ascii="Times New Roman" w:hAnsi="Times New Roman"/>
                <w:b w:val="0"/>
                <w:i w:val="0"/>
                <w:color w:val="1A1A1A"/>
                <w:sz w:val="18"/>
              </w:rPr>
              <w:t>Degenerate simplex</w:t>
            </w:r>
          </w:p>
        </w:tc>
        <w:tc>
          <w:tcPr>
            <w:tcW w:type="dxa" w:w="2592"/>
            <w:tcMar>
              <w:top w:w="50" w:type="dxa"/>
              <w:bottom w:w="50" w:type="dxa"/>
              <w:left w:w="80" w:type="dxa"/>
              <w:right w:w="80" w:type="dxa"/>
            </w:tcMar>
            <w:shd w:fill="F5F5F5" w:val="clear"/>
          </w:tcPr>
          <w:p>
            <w:r/>
            <w:r>
              <w:rPr>
                <w:rFonts w:ascii="Times New Roman" w:hAnsi="Times New Roman"/>
                <w:b w:val="0"/>
                <w:i w:val="0"/>
                <w:color w:val="1A1A1A"/>
                <w:sz w:val="18"/>
              </w:rPr>
              <w:t>Data near simplex boundary</w:t>
            </w:r>
          </w:p>
        </w:tc>
        <w:tc>
          <w:tcPr>
            <w:tcW w:type="dxa" w:w="4320"/>
            <w:tcMar>
              <w:top w:w="50" w:type="dxa"/>
              <w:bottom w:w="50" w:type="dxa"/>
              <w:left w:w="80" w:type="dxa"/>
              <w:right w:w="80" w:type="dxa"/>
            </w:tcMar>
            <w:shd w:fill="F5F5F5" w:val="clear"/>
          </w:tcPr>
          <w:p>
            <w:r/>
            <w:r>
              <w:rPr>
                <w:rFonts w:ascii="Times New Roman" w:hAnsi="Times New Roman"/>
                <w:b w:val="0"/>
                <w:i w:val="0"/>
                <w:color w:val="1A1A1A"/>
                <w:sz w:val="18"/>
              </w:rPr>
              <w:t>Zero crossings + FLAG or low R²</w:t>
            </w:r>
          </w:p>
        </w:tc>
      </w:tr>
      <w:tr>
        <w:tc>
          <w:tcPr>
            <w:tcW w:type="dxa" w:w="1728"/>
            <w:tcMar>
              <w:top w:w="50" w:type="dxa"/>
              <w:bottom w:w="50" w:type="dxa"/>
              <w:left w:w="80" w:type="dxa"/>
              <w:right w:w="80" w:type="dxa"/>
            </w:tcMar>
          </w:tcPr>
          <w:p>
            <w:r/>
            <w:r>
              <w:rPr>
                <w:rFonts w:ascii="Times New Roman" w:hAnsi="Times New Roman"/>
                <w:b w:val="0"/>
                <w:i w:val="0"/>
                <w:color w:val="1A1A1A"/>
                <w:sz w:val="18"/>
              </w:rPr>
              <w:t>Turbulent natural</w:t>
            </w:r>
          </w:p>
        </w:tc>
        <w:tc>
          <w:tcPr>
            <w:tcW w:type="dxa" w:w="2592"/>
            <w:tcMar>
              <w:top w:w="50" w:type="dxa"/>
              <w:bottom w:w="50" w:type="dxa"/>
              <w:left w:w="80" w:type="dxa"/>
              <w:right w:w="80" w:type="dxa"/>
            </w:tcMar>
          </w:tcPr>
          <w:p>
            <w:r/>
            <w:r>
              <w:rPr>
                <w:rFonts w:ascii="Times New Roman" w:hAnsi="Times New Roman"/>
                <w:b w:val="0"/>
                <w:i w:val="0"/>
                <w:color w:val="1A1A1A"/>
                <w:sz w:val="18"/>
              </w:rPr>
              <w:t>Natural but structurally complex</w:t>
            </w:r>
          </w:p>
        </w:tc>
        <w:tc>
          <w:tcPr>
            <w:tcW w:type="dxa" w:w="4320"/>
            <w:tcMar>
              <w:top w:w="50" w:type="dxa"/>
              <w:bottom w:w="50" w:type="dxa"/>
              <w:left w:w="80" w:type="dxa"/>
              <w:right w:w="80" w:type="dxa"/>
            </w:tcMar>
          </w:tcPr>
          <w:p>
            <w:r/>
            <w:r>
              <w:rPr>
                <w:rFonts w:ascii="Times New Roman" w:hAnsi="Times New Roman"/>
                <w:b w:val="0"/>
                <w:i w:val="0"/>
                <w:color w:val="1A1A1A"/>
                <w:sz w:val="18"/>
              </w:rPr>
              <w:t>NATURAL + EITT fail + high chaos</w:t>
            </w:r>
          </w:p>
        </w:tc>
      </w:tr>
      <w:tr>
        <w:tc>
          <w:tcPr>
            <w:tcW w:type="dxa" w:w="1728"/>
            <w:tcMar>
              <w:top w:w="50" w:type="dxa"/>
              <w:bottom w:w="50" w:type="dxa"/>
              <w:left w:w="80" w:type="dxa"/>
              <w:right w:w="80" w:type="dxa"/>
            </w:tcMar>
            <w:shd w:fill="F5F5F5" w:val="clear"/>
          </w:tcPr>
          <w:p>
            <w:r/>
            <w:r>
              <w:rPr>
                <w:rFonts w:ascii="Times New Roman" w:hAnsi="Times New Roman"/>
                <w:b w:val="0"/>
                <w:i w:val="0"/>
                <w:color w:val="1A1A1A"/>
                <w:sz w:val="18"/>
              </w:rPr>
              <w:t>Overconstrained</w:t>
            </w:r>
          </w:p>
        </w:tc>
        <w:tc>
          <w:tcPr>
            <w:tcW w:type="dxa" w:w="2592"/>
            <w:tcMar>
              <w:top w:w="50" w:type="dxa"/>
              <w:bottom w:w="50" w:type="dxa"/>
              <w:left w:w="80" w:type="dxa"/>
              <w:right w:w="80" w:type="dxa"/>
            </w:tcMar>
            <w:shd w:fill="F5F5F5" w:val="clear"/>
          </w:tcPr>
          <w:p>
            <w:r/>
            <w:r>
              <w:rPr>
                <w:rFonts w:ascii="Times New Roman" w:hAnsi="Times New Roman"/>
                <w:b w:val="0"/>
                <w:i w:val="0"/>
                <w:color w:val="1A1A1A"/>
                <w:sz w:val="18"/>
              </w:rPr>
              <w:t>Tight mathematical constraints</w:t>
            </w:r>
          </w:p>
        </w:tc>
        <w:tc>
          <w:tcPr>
            <w:tcW w:type="dxa" w:w="4320"/>
            <w:tcMar>
              <w:top w:w="50" w:type="dxa"/>
              <w:bottom w:w="50" w:type="dxa"/>
              <w:left w:w="80" w:type="dxa"/>
              <w:right w:w="80" w:type="dxa"/>
            </w:tcMar>
            <w:shd w:fill="F5F5F5" w:val="clear"/>
          </w:tcPr>
          <w:p>
            <w:r/>
            <w:r>
              <w:rPr>
                <w:rFonts w:ascii="Times New Roman" w:hAnsi="Times New Roman"/>
                <w:b w:val="0"/>
                <w:i w:val="0"/>
                <w:color w:val="1A1A1A"/>
                <w:sz w:val="18"/>
              </w:rPr>
              <w:t>High R² + NATURAL + tight δ + EITT pass</w:t>
            </w:r>
          </w:p>
        </w:tc>
      </w:tr>
    </w:tbl>
    <w:p/>
    <w:p>
      <w:pPr>
        <w:spacing w:after="120"/>
      </w:pPr>
      <w:r>
        <w:rPr>
          <w:rFonts w:ascii="Times New Roman" w:hAnsi="Times New Roman"/>
          <w:b w:val="0"/>
          <w:i w:val="0"/>
          <w:color w:val="1A1A1A"/>
          <w:sz w:val="22"/>
        </w:rPr>
        <w:t>The mode detection algorithm operates on the code set, not on the data. This means that structural modes can be predicted from code combinations alone, without access to the original measurements. This property — diagnostic composability — is what makes the code system an instrument rather than a model.</w:t>
      </w:r>
    </w:p>
    <w:p>
      <w:pPr>
        <w:pStyle w:val="Heading1"/>
      </w:pPr>
      <w:r>
        <w:rPr>
          <w:rFonts w:ascii="Times New Roman" w:hAnsi="Times New Roman"/>
          <w:color w:val="000000"/>
        </w:rPr>
        <w:t>7. Experimental Validation</w:t>
      </w:r>
    </w:p>
    <w:p>
      <w:pPr>
        <w:spacing w:after="120"/>
      </w:pPr>
      <w:r>
        <w:rPr>
          <w:rFonts w:ascii="Times New Roman" w:hAnsi="Times New Roman"/>
          <w:b w:val="0"/>
          <w:i w:val="0"/>
          <w:color w:val="1A1A1A"/>
          <w:sz w:val="22"/>
        </w:rPr>
        <w:t>We present results from three domains chosen for their diversity: nuclear physics (deterministic, derived from first principles), energy systems (empirical, policy-driven), and synthetic adversarial data (designed to challenge the instrument).</w:t>
      </w:r>
    </w:p>
    <w:p>
      <w:pPr>
        <w:pStyle w:val="Heading2"/>
      </w:pPr>
      <w:r>
        <w:rPr>
          <w:rFonts w:ascii="Times New Roman" w:hAnsi="Times New Roman"/>
          <w:color w:val="000000"/>
        </w:rPr>
        <w:t>7.1. Nuclear binding energy (Hs-03)</w:t>
      </w:r>
    </w:p>
    <w:p>
      <w:pPr>
        <w:spacing w:after="120"/>
      </w:pPr>
      <w:r>
        <w:rPr>
          <w:rFonts w:ascii="Times New Roman" w:hAnsi="Times New Roman"/>
          <w:b w:val="0"/>
          <w:i w:val="0"/>
          <w:color w:val="1A1A1A"/>
          <w:sz w:val="22"/>
        </w:rPr>
        <w:t>The semi-empirical mass formula (SEMF) decomposes nuclear binding energy into volume, surface, Coulomb, symmetry, and pairing terms. We group these into a 3-part composition [Volume, Surface+Coulomb, Symmetry+Pairing] for Z = 1 to 92. The resulting dataset has N = 92 observations on S².</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80"/>
        <w:gridCol w:w="2880"/>
        <w:gridCol w:w="2880"/>
      </w:tblGrid>
      <w:tr>
        <w:trPr>
          <w:tblHeader/>
        </w:trPr>
        <w:tc>
          <w:tcPr>
            <w:tcW w:type="dxa" w:w="1872"/>
            <w:tcMar>
              <w:top w:w="50" w:type="dxa"/>
              <w:bottom w:w="50" w:type="dxa"/>
              <w:left w:w="80" w:type="dxa"/>
              <w:right w:w="80" w:type="dxa"/>
            </w:tcMar>
            <w:shd w:fill="333333" w:val="clear"/>
          </w:tcPr>
          <w:p>
            <w:r/>
            <w:r>
              <w:rPr>
                <w:rFonts w:ascii="Times New Roman" w:hAnsi="Times New Roman"/>
                <w:b/>
                <w:color w:val="FFFFFF"/>
                <w:sz w:val="18"/>
              </w:rPr>
              <w:t>Metric</w:t>
            </w:r>
          </w:p>
        </w:tc>
        <w:tc>
          <w:tcPr>
            <w:tcW w:type="dxa" w:w="2160"/>
            <w:tcMar>
              <w:top w:w="50" w:type="dxa"/>
              <w:bottom w:w="50" w:type="dxa"/>
              <w:left w:w="80" w:type="dxa"/>
              <w:right w:w="80" w:type="dxa"/>
            </w:tcMar>
            <w:shd w:fill="333333" w:val="clear"/>
          </w:tcPr>
          <w:p>
            <w:r/>
            <w:r>
              <w:rPr>
                <w:rFonts w:ascii="Times New Roman" w:hAnsi="Times New Roman"/>
                <w:b/>
                <w:color w:val="FFFFFF"/>
                <w:sz w:val="18"/>
              </w:rPr>
              <w:t>Value</w:t>
            </w:r>
          </w:p>
        </w:tc>
        <w:tc>
          <w:tcPr>
            <w:tcW w:type="dxa" w:w="4608"/>
            <w:tcMar>
              <w:top w:w="50" w:type="dxa"/>
              <w:bottom w:w="50" w:type="dxa"/>
              <w:left w:w="80" w:type="dxa"/>
              <w:right w:w="80" w:type="dxa"/>
            </w:tcMar>
            <w:shd w:fill="333333" w:val="clear"/>
          </w:tcPr>
          <w:p>
            <w:r/>
            <w:r>
              <w:rPr>
                <w:rFonts w:ascii="Times New Roman" w:hAnsi="Times New Roman"/>
                <w:b/>
                <w:color w:val="FFFFFF"/>
                <w:sz w:val="18"/>
              </w:rPr>
              <w:t>Interpretation</w:t>
            </w:r>
          </w:p>
        </w:tc>
      </w:tr>
      <w:tr>
        <w:tc>
          <w:tcPr>
            <w:tcW w:type="dxa" w:w="1872"/>
            <w:tcMar>
              <w:top w:w="50" w:type="dxa"/>
              <w:bottom w:w="50" w:type="dxa"/>
              <w:left w:w="80" w:type="dxa"/>
              <w:right w:w="80" w:type="dxa"/>
            </w:tcMar>
          </w:tcPr>
          <w:p>
            <w:r/>
            <w:r>
              <w:rPr>
                <w:rFonts w:ascii="Times New Roman" w:hAnsi="Times New Roman"/>
                <w:b w:val="0"/>
                <w:i w:val="0"/>
                <w:color w:val="1A1A1A"/>
                <w:sz w:val="18"/>
              </w:rPr>
              <w:t>D, N</w:t>
            </w:r>
          </w:p>
        </w:tc>
        <w:tc>
          <w:tcPr>
            <w:tcW w:type="dxa" w:w="2160"/>
            <w:tcMar>
              <w:top w:w="50" w:type="dxa"/>
              <w:bottom w:w="50" w:type="dxa"/>
              <w:left w:w="80" w:type="dxa"/>
              <w:right w:w="80" w:type="dxa"/>
            </w:tcMar>
          </w:tcPr>
          <w:p>
            <w:r/>
            <w:r>
              <w:rPr>
                <w:rFonts w:ascii="Times New Roman" w:hAnsi="Times New Roman"/>
                <w:b w:val="0"/>
                <w:i w:val="0"/>
                <w:color w:val="1A1A1A"/>
                <w:sz w:val="18"/>
              </w:rPr>
              <w:t>3, 92</w:t>
            </w:r>
          </w:p>
        </w:tc>
        <w:tc>
          <w:tcPr>
            <w:tcW w:type="dxa" w:w="4608"/>
            <w:tcMar>
              <w:top w:w="50" w:type="dxa"/>
              <w:bottom w:w="50" w:type="dxa"/>
              <w:left w:w="80" w:type="dxa"/>
              <w:right w:w="80" w:type="dxa"/>
            </w:tcMar>
          </w:tcPr>
          <w:p>
            <w:r/>
            <w:r>
              <w:rPr>
                <w:rFonts w:ascii="Times New Roman" w:hAnsi="Times New Roman"/>
                <w:b w:val="0"/>
                <w:i w:val="0"/>
                <w:color w:val="1A1A1A"/>
                <w:sz w:val="18"/>
              </w:rPr>
              <w:t>3-part composition, full periodic table</w:t>
            </w:r>
          </w:p>
        </w:tc>
      </w:tr>
      <w:tr>
        <w:tc>
          <w:tcPr>
            <w:tcW w:type="dxa" w:w="1872"/>
            <w:tcMar>
              <w:top w:w="50" w:type="dxa"/>
              <w:bottom w:w="50" w:type="dxa"/>
              <w:left w:w="80" w:type="dxa"/>
              <w:right w:w="80" w:type="dxa"/>
            </w:tcMar>
            <w:shd w:fill="F5F5F5" w:val="clear"/>
          </w:tcPr>
          <w:p>
            <w:r/>
            <w:r>
              <w:rPr>
                <w:rFonts w:ascii="Times New Roman" w:hAnsi="Times New Roman"/>
                <w:b w:val="0"/>
                <w:i w:val="0"/>
                <w:color w:val="1A1A1A"/>
                <w:sz w:val="18"/>
              </w:rPr>
              <w:t>HVLD shape</w:t>
            </w:r>
          </w:p>
        </w:tc>
        <w:tc>
          <w:tcPr>
            <w:tcW w:type="dxa" w:w="2160"/>
            <w:tcMar>
              <w:top w:w="50" w:type="dxa"/>
              <w:bottom w:w="50" w:type="dxa"/>
              <w:left w:w="80" w:type="dxa"/>
              <w:right w:w="80" w:type="dxa"/>
            </w:tcMar>
            <w:shd w:fill="F5F5F5" w:val="clear"/>
          </w:tcPr>
          <w:p>
            <w:r/>
            <w:r>
              <w:rPr>
                <w:rFonts w:ascii="Times New Roman" w:hAnsi="Times New Roman"/>
                <w:b w:val="0"/>
                <w:i w:val="0"/>
                <w:color w:val="1A1A1A"/>
                <w:sz w:val="18"/>
              </w:rPr>
              <w:t>Bowl</w:t>
            </w:r>
          </w:p>
        </w:tc>
        <w:tc>
          <w:tcPr>
            <w:tcW w:type="dxa" w:w="4608"/>
            <w:tcMar>
              <w:top w:w="50" w:type="dxa"/>
              <w:bottom w:w="50" w:type="dxa"/>
              <w:left w:w="80" w:type="dxa"/>
              <w:right w:w="80" w:type="dxa"/>
            </w:tcMar>
            <w:shd w:fill="F5F5F5" w:val="clear"/>
          </w:tcPr>
          <w:p>
            <w:r/>
            <w:r>
              <w:rPr>
                <w:rFonts w:ascii="Times New Roman" w:hAnsi="Times New Roman"/>
                <w:b w:val="0"/>
                <w:i w:val="0"/>
                <w:color w:val="1A1A1A"/>
                <w:sz w:val="18"/>
              </w:rPr>
              <w:t>Variance accelerating — integrating system</w:t>
            </w:r>
          </w:p>
        </w:tc>
      </w:tr>
      <w:tr>
        <w:tc>
          <w:tcPr>
            <w:tcW w:type="dxa" w:w="1872"/>
            <w:tcMar>
              <w:top w:w="50" w:type="dxa"/>
              <w:bottom w:w="50" w:type="dxa"/>
              <w:left w:w="80" w:type="dxa"/>
              <w:right w:w="80" w:type="dxa"/>
            </w:tcMar>
          </w:tcPr>
          <w:p>
            <w:r/>
            <w:r>
              <w:rPr>
                <w:rFonts w:ascii="Times New Roman" w:hAnsi="Times New Roman"/>
                <w:b w:val="0"/>
                <w:i w:val="0"/>
                <w:color w:val="1A1A1A"/>
                <w:sz w:val="18"/>
              </w:rPr>
              <w:t>HVLD R²</w:t>
            </w:r>
          </w:p>
        </w:tc>
        <w:tc>
          <w:tcPr>
            <w:tcW w:type="dxa" w:w="2160"/>
            <w:tcMar>
              <w:top w:w="50" w:type="dxa"/>
              <w:bottom w:w="50" w:type="dxa"/>
              <w:left w:w="80" w:type="dxa"/>
              <w:right w:w="80" w:type="dxa"/>
            </w:tcMar>
          </w:tcPr>
          <w:p>
            <w:r/>
            <w:r>
              <w:rPr>
                <w:rFonts w:ascii="Times New Roman" w:hAnsi="Times New Roman"/>
                <w:b w:val="0"/>
                <w:i w:val="0"/>
                <w:color w:val="1A1A1A"/>
                <w:sz w:val="18"/>
              </w:rPr>
              <w:t>0.809</w:t>
            </w:r>
          </w:p>
        </w:tc>
        <w:tc>
          <w:tcPr>
            <w:tcW w:type="dxa" w:w="4608"/>
            <w:tcMar>
              <w:top w:w="50" w:type="dxa"/>
              <w:bottom w:w="50" w:type="dxa"/>
              <w:left w:w="80" w:type="dxa"/>
              <w:right w:w="80" w:type="dxa"/>
            </w:tcMar>
          </w:tcPr>
          <w:p>
            <w:r/>
            <w:r>
              <w:rPr>
                <w:rFonts w:ascii="Times New Roman" w:hAnsi="Times New Roman"/>
                <w:b w:val="0"/>
                <w:i w:val="0"/>
                <w:color w:val="1A1A1A"/>
                <w:sz w:val="18"/>
              </w:rPr>
              <w:t>Strong quadratic fit to trajectory</w:t>
            </w:r>
          </w:p>
        </w:tc>
      </w:tr>
      <w:tr>
        <w:tc>
          <w:tcPr>
            <w:tcW w:type="dxa" w:w="1872"/>
            <w:tcMar>
              <w:top w:w="50" w:type="dxa"/>
              <w:bottom w:w="50" w:type="dxa"/>
              <w:left w:w="80" w:type="dxa"/>
              <w:right w:w="80" w:type="dxa"/>
            </w:tcMar>
            <w:shd w:fill="F5F5F5" w:val="clear"/>
          </w:tcPr>
          <w:p>
            <w:r/>
            <w:r>
              <w:rPr>
                <w:rFonts w:ascii="Times New Roman" w:hAnsi="Times New Roman"/>
                <w:b w:val="0"/>
                <w:i w:val="0"/>
                <w:color w:val="1A1A1A"/>
                <w:sz w:val="18"/>
              </w:rPr>
              <w:t>HTP classification</w:t>
            </w:r>
          </w:p>
        </w:tc>
        <w:tc>
          <w:tcPr>
            <w:tcW w:type="dxa" w:w="2160"/>
            <w:tcMar>
              <w:top w:w="50" w:type="dxa"/>
              <w:bottom w:w="50" w:type="dxa"/>
              <w:left w:w="80" w:type="dxa"/>
              <w:right w:w="80" w:type="dxa"/>
            </w:tcMar>
            <w:shd w:fill="F5F5F5" w:val="clear"/>
          </w:tcPr>
          <w:p>
            <w:r/>
            <w:r>
              <w:rPr>
                <w:rFonts w:ascii="Times New Roman" w:hAnsi="Times New Roman"/>
                <w:b w:val="0"/>
                <w:i w:val="0"/>
                <w:color w:val="1A1A1A"/>
                <w:sz w:val="18"/>
              </w:rPr>
              <w:t>NATURAL</w:t>
            </w:r>
          </w:p>
        </w:tc>
        <w:tc>
          <w:tcPr>
            <w:tcW w:type="dxa" w:w="4608"/>
            <w:tcMar>
              <w:top w:w="50" w:type="dxa"/>
              <w:bottom w:w="50" w:type="dxa"/>
              <w:left w:w="80" w:type="dxa"/>
              <w:right w:w="80" w:type="dxa"/>
            </w:tcMar>
            <w:shd w:fill="F5F5F5" w:val="clear"/>
          </w:tcPr>
          <w:p>
            <w:r/>
            <w:r>
              <w:rPr>
                <w:rFonts w:ascii="Times New Roman" w:hAnsi="Times New Roman"/>
                <w:b w:val="0"/>
                <w:i w:val="0"/>
                <w:color w:val="1A1A1A"/>
                <w:sz w:val="18"/>
              </w:rPr>
              <w:t>δ_min = 1.9 × 10⁻⁴ at π/4</w:t>
            </w:r>
          </w:p>
        </w:tc>
      </w:tr>
      <w:tr>
        <w:tc>
          <w:tcPr>
            <w:tcW w:type="dxa" w:w="1872"/>
            <w:tcMar>
              <w:top w:w="50" w:type="dxa"/>
              <w:bottom w:w="50" w:type="dxa"/>
              <w:left w:w="80" w:type="dxa"/>
              <w:right w:w="80" w:type="dxa"/>
            </w:tcMar>
          </w:tcPr>
          <w:p>
            <w:r/>
            <w:r>
              <w:rPr>
                <w:rFonts w:ascii="Times New Roman" w:hAnsi="Times New Roman"/>
                <w:b w:val="0"/>
                <w:i w:val="0"/>
                <w:color w:val="1A1A1A"/>
                <w:sz w:val="18"/>
              </w:rPr>
              <w:t>Closest constant</w:t>
            </w:r>
          </w:p>
        </w:tc>
        <w:tc>
          <w:tcPr>
            <w:tcW w:type="dxa" w:w="2160"/>
            <w:tcMar>
              <w:top w:w="50" w:type="dxa"/>
              <w:bottom w:w="50" w:type="dxa"/>
              <w:left w:w="80" w:type="dxa"/>
              <w:right w:w="80" w:type="dxa"/>
            </w:tcMar>
          </w:tcPr>
          <w:p>
            <w:r/>
            <w:r>
              <w:rPr>
                <w:rFonts w:ascii="Times New Roman" w:hAnsi="Times New Roman"/>
                <w:b w:val="0"/>
                <w:i w:val="0"/>
                <w:color w:val="1A1A1A"/>
                <w:sz w:val="18"/>
              </w:rPr>
              <w:t>π/4 = 0.7854...</w:t>
            </w:r>
          </w:p>
        </w:tc>
        <w:tc>
          <w:tcPr>
            <w:tcW w:type="dxa" w:w="4608"/>
            <w:tcMar>
              <w:top w:w="50" w:type="dxa"/>
              <w:bottom w:w="50" w:type="dxa"/>
              <w:left w:w="80" w:type="dxa"/>
              <w:right w:w="80" w:type="dxa"/>
            </w:tcMar>
          </w:tcPr>
          <w:p>
            <w:r/>
            <w:r>
              <w:rPr>
                <w:rFonts w:ascii="Times New Roman" w:hAnsi="Times New Roman"/>
                <w:b w:val="0"/>
                <w:i w:val="0"/>
                <w:color w:val="1A1A1A"/>
                <w:sz w:val="18"/>
              </w:rPr>
              <w:t>Quarter-circle ratio in nuclear geometry</w:t>
            </w:r>
          </w:p>
        </w:tc>
      </w:tr>
      <w:tr>
        <w:tc>
          <w:tcPr>
            <w:tcW w:type="dxa" w:w="1872"/>
            <w:tcMar>
              <w:top w:w="50" w:type="dxa"/>
              <w:bottom w:w="50" w:type="dxa"/>
              <w:left w:w="80" w:type="dxa"/>
              <w:right w:w="80" w:type="dxa"/>
            </w:tcMar>
            <w:shd w:fill="F5F5F5" w:val="clear"/>
          </w:tcPr>
          <w:p>
            <w:r/>
            <w:r>
              <w:rPr>
                <w:rFonts w:ascii="Times New Roman" w:hAnsi="Times New Roman"/>
                <w:b w:val="0"/>
                <w:i w:val="0"/>
                <w:color w:val="1A1A1A"/>
                <w:sz w:val="18"/>
              </w:rPr>
              <w:t>Squeeze matches</w:t>
            </w:r>
          </w:p>
        </w:tc>
        <w:tc>
          <w:tcPr>
            <w:tcW w:type="dxa" w:w="2160"/>
            <w:tcMar>
              <w:top w:w="50" w:type="dxa"/>
              <w:bottom w:w="50" w:type="dxa"/>
              <w:left w:w="80" w:type="dxa"/>
              <w:right w:w="80" w:type="dxa"/>
            </w:tcMar>
            <w:shd w:fill="F5F5F5" w:val="clear"/>
          </w:tcPr>
          <w:p>
            <w:r/>
            <w:r>
              <w:rPr>
                <w:rFonts w:ascii="Times New Roman" w:hAnsi="Times New Roman"/>
                <w:b w:val="0"/>
                <w:i w:val="0"/>
                <w:color w:val="1A1A1A"/>
                <w:sz w:val="18"/>
              </w:rPr>
              <w:t>42</w:t>
            </w:r>
          </w:p>
        </w:tc>
        <w:tc>
          <w:tcPr>
            <w:tcW w:type="dxa" w:w="4608"/>
            <w:tcMar>
              <w:top w:w="50" w:type="dxa"/>
              <w:bottom w:w="50" w:type="dxa"/>
              <w:left w:w="80" w:type="dxa"/>
              <w:right w:w="80" w:type="dxa"/>
            </w:tcMar>
            <w:shd w:fill="F5F5F5" w:val="clear"/>
          </w:tcPr>
          <w:p>
            <w:r/>
            <w:r>
              <w:rPr>
                <w:rFonts w:ascii="Times New Roman" w:hAnsi="Times New Roman"/>
                <w:b w:val="0"/>
                <w:i w:val="0"/>
                <w:color w:val="1A1A1A"/>
                <w:sz w:val="18"/>
              </w:rPr>
              <w:t>Dense constant coverage along trajectory</w:t>
            </w:r>
          </w:p>
        </w:tc>
      </w:tr>
      <w:tr>
        <w:tc>
          <w:tcPr>
            <w:tcW w:type="dxa" w:w="1872"/>
            <w:tcMar>
              <w:top w:w="50" w:type="dxa"/>
              <w:bottom w:w="50" w:type="dxa"/>
              <w:left w:w="80" w:type="dxa"/>
              <w:right w:w="80" w:type="dxa"/>
            </w:tcMar>
          </w:tcPr>
          <w:p>
            <w:r/>
            <w:r>
              <w:rPr>
                <w:rFonts w:ascii="Times New Roman" w:hAnsi="Times New Roman"/>
                <w:b w:val="0"/>
                <w:i w:val="0"/>
                <w:color w:val="1A1A1A"/>
                <w:sz w:val="18"/>
              </w:rPr>
              <w:t>EITT 2×</w:t>
            </w:r>
          </w:p>
        </w:tc>
        <w:tc>
          <w:tcPr>
            <w:tcW w:type="dxa" w:w="2160"/>
            <w:tcMar>
              <w:top w:w="50" w:type="dxa"/>
              <w:bottom w:w="50" w:type="dxa"/>
              <w:left w:w="80" w:type="dxa"/>
              <w:right w:w="80" w:type="dxa"/>
            </w:tcMar>
          </w:tcPr>
          <w:p>
            <w:r/>
            <w:r>
              <w:rPr>
                <w:rFonts w:ascii="Times New Roman" w:hAnsi="Times New Roman"/>
                <w:b w:val="0"/>
                <w:i w:val="0"/>
                <w:color w:val="1A1A1A"/>
                <w:sz w:val="18"/>
              </w:rPr>
              <w:t>PASS (0.8%)</w:t>
            </w:r>
          </w:p>
        </w:tc>
        <w:tc>
          <w:tcPr>
            <w:tcW w:type="dxa" w:w="4608"/>
            <w:tcMar>
              <w:top w:w="50" w:type="dxa"/>
              <w:bottom w:w="50" w:type="dxa"/>
              <w:left w:w="80" w:type="dxa"/>
              <w:right w:w="80" w:type="dxa"/>
            </w:tcMar>
          </w:tcPr>
          <w:p>
            <w:r/>
            <w:r>
              <w:rPr>
                <w:rFonts w:ascii="Times New Roman" w:hAnsi="Times New Roman"/>
                <w:b w:val="0"/>
                <w:i w:val="0"/>
                <w:color w:val="1A1A1A"/>
                <w:sz w:val="18"/>
              </w:rPr>
              <w:t>Entropy invariant under 2× decimation</w:t>
            </w:r>
          </w:p>
        </w:tc>
      </w:tr>
      <w:tr>
        <w:tc>
          <w:tcPr>
            <w:tcW w:type="dxa" w:w="1872"/>
            <w:tcMar>
              <w:top w:w="50" w:type="dxa"/>
              <w:bottom w:w="50" w:type="dxa"/>
              <w:left w:w="80" w:type="dxa"/>
              <w:right w:w="80" w:type="dxa"/>
            </w:tcMar>
            <w:shd w:fill="F5F5F5" w:val="clear"/>
          </w:tcPr>
          <w:p>
            <w:r/>
            <w:r>
              <w:rPr>
                <w:rFonts w:ascii="Times New Roman" w:hAnsi="Times New Roman"/>
                <w:b w:val="0"/>
                <w:i w:val="0"/>
                <w:color w:val="1A1A1A"/>
                <w:sz w:val="18"/>
              </w:rPr>
              <w:t>EITT 4×</w:t>
            </w:r>
          </w:p>
        </w:tc>
        <w:tc>
          <w:tcPr>
            <w:tcW w:type="dxa" w:w="2160"/>
            <w:tcMar>
              <w:top w:w="50" w:type="dxa"/>
              <w:bottom w:w="50" w:type="dxa"/>
              <w:left w:w="80" w:type="dxa"/>
              <w:right w:w="80" w:type="dxa"/>
            </w:tcMar>
            <w:shd w:fill="F5F5F5" w:val="clear"/>
          </w:tcPr>
          <w:p>
            <w:r/>
            <w:r>
              <w:rPr>
                <w:rFonts w:ascii="Times New Roman" w:hAnsi="Times New Roman"/>
                <w:b w:val="0"/>
                <w:i w:val="0"/>
                <w:color w:val="1A1A1A"/>
                <w:sz w:val="18"/>
              </w:rPr>
              <w:t>PASS (1.2%)</w:t>
            </w:r>
          </w:p>
        </w:tc>
        <w:tc>
          <w:tcPr>
            <w:tcW w:type="dxa" w:w="4608"/>
            <w:tcMar>
              <w:top w:w="50" w:type="dxa"/>
              <w:bottom w:w="50" w:type="dxa"/>
              <w:left w:w="80" w:type="dxa"/>
              <w:right w:w="80" w:type="dxa"/>
            </w:tcMar>
            <w:shd w:fill="F5F5F5" w:val="clear"/>
          </w:tcPr>
          <w:p>
            <w:r/>
            <w:r>
              <w:rPr>
                <w:rFonts w:ascii="Times New Roman" w:hAnsi="Times New Roman"/>
                <w:b w:val="0"/>
                <w:i w:val="0"/>
                <w:color w:val="1A1A1A"/>
                <w:sz w:val="18"/>
              </w:rPr>
              <w:t>Entropy invariant under 4× decimation</w:t>
            </w:r>
          </w:p>
        </w:tc>
      </w:tr>
      <w:tr>
        <w:tc>
          <w:tcPr>
            <w:tcW w:type="dxa" w:w="1872"/>
            <w:tcMar>
              <w:top w:w="50" w:type="dxa"/>
              <w:bottom w:w="50" w:type="dxa"/>
              <w:left w:w="80" w:type="dxa"/>
              <w:right w:w="80" w:type="dxa"/>
            </w:tcMar>
          </w:tcPr>
          <w:p>
            <w:r/>
            <w:r>
              <w:rPr>
                <w:rFonts w:ascii="Times New Roman" w:hAnsi="Times New Roman"/>
                <w:b w:val="0"/>
                <w:i w:val="0"/>
                <w:color w:val="1A1A1A"/>
                <w:sz w:val="18"/>
              </w:rPr>
              <w:t>EITT 8×</w:t>
            </w:r>
          </w:p>
        </w:tc>
        <w:tc>
          <w:tcPr>
            <w:tcW w:type="dxa" w:w="2160"/>
            <w:tcMar>
              <w:top w:w="50" w:type="dxa"/>
              <w:bottom w:w="50" w:type="dxa"/>
              <w:left w:w="80" w:type="dxa"/>
              <w:right w:w="80" w:type="dxa"/>
            </w:tcMar>
          </w:tcPr>
          <w:p>
            <w:r/>
            <w:r>
              <w:rPr>
                <w:rFonts w:ascii="Times New Roman" w:hAnsi="Times New Roman"/>
                <w:b w:val="0"/>
                <w:i w:val="0"/>
                <w:color w:val="1A1A1A"/>
                <w:sz w:val="18"/>
              </w:rPr>
              <w:t>PASS (2.1%)</w:t>
            </w:r>
          </w:p>
        </w:tc>
        <w:tc>
          <w:tcPr>
            <w:tcW w:type="dxa" w:w="4608"/>
            <w:tcMar>
              <w:top w:w="50" w:type="dxa"/>
              <w:bottom w:w="50" w:type="dxa"/>
              <w:left w:w="80" w:type="dxa"/>
              <w:right w:w="80" w:type="dxa"/>
            </w:tcMar>
          </w:tcPr>
          <w:p>
            <w:r/>
            <w:r>
              <w:rPr>
                <w:rFonts w:ascii="Times New Roman" w:hAnsi="Times New Roman"/>
                <w:b w:val="0"/>
                <w:i w:val="0"/>
                <w:color w:val="1A1A1A"/>
                <w:sz w:val="18"/>
              </w:rPr>
              <w:t>Entropy invariant under 8× decimation</w:t>
            </w:r>
          </w:p>
        </w:tc>
      </w:tr>
      <w:tr>
        <w:tc>
          <w:tcPr>
            <w:tcW w:type="dxa" w:w="1872"/>
            <w:tcMar>
              <w:top w:w="50" w:type="dxa"/>
              <w:bottom w:w="50" w:type="dxa"/>
              <w:left w:w="80" w:type="dxa"/>
              <w:right w:w="80" w:type="dxa"/>
            </w:tcMar>
            <w:shd w:fill="F5F5F5" w:val="clear"/>
          </w:tcPr>
          <w:p>
            <w:r/>
            <w:r>
              <w:rPr>
                <w:rFonts w:ascii="Times New Roman" w:hAnsi="Times New Roman"/>
                <w:b w:val="0"/>
                <w:i w:val="0"/>
                <w:color w:val="1A1A1A"/>
                <w:sz w:val="18"/>
              </w:rPr>
              <w:t>Dominant carrier</w:t>
            </w:r>
          </w:p>
        </w:tc>
        <w:tc>
          <w:tcPr>
            <w:tcW w:type="dxa" w:w="2160"/>
            <w:tcMar>
              <w:top w:w="50" w:type="dxa"/>
              <w:bottom w:w="50" w:type="dxa"/>
              <w:left w:w="80" w:type="dxa"/>
              <w:right w:w="80" w:type="dxa"/>
            </w:tcMar>
            <w:shd w:fill="F5F5F5" w:val="clear"/>
          </w:tcPr>
          <w:p>
            <w:r/>
            <w:r>
              <w:rPr>
                <w:rFonts w:ascii="Times New Roman" w:hAnsi="Times New Roman"/>
                <w:b w:val="0"/>
                <w:i w:val="0"/>
                <w:color w:val="1A1A1A"/>
                <w:sz w:val="18"/>
              </w:rPr>
              <w:t>Sym+Pairing (66.3%)</w:t>
            </w:r>
          </w:p>
        </w:tc>
        <w:tc>
          <w:tcPr>
            <w:tcW w:type="dxa" w:w="4608"/>
            <w:tcMar>
              <w:top w:w="50" w:type="dxa"/>
              <w:bottom w:w="50" w:type="dxa"/>
              <w:left w:w="80" w:type="dxa"/>
              <w:right w:w="80" w:type="dxa"/>
            </w:tcMar>
            <w:shd w:fill="F5F5F5" w:val="clear"/>
          </w:tcPr>
          <w:p>
            <w:r/>
            <w:r>
              <w:rPr>
                <w:rFonts w:ascii="Times New Roman" w:hAnsi="Times New Roman"/>
                <w:b w:val="0"/>
                <w:i w:val="0"/>
                <w:color w:val="1A1A1A"/>
                <w:sz w:val="18"/>
              </w:rPr>
              <w:t>Symmetry energy drives compositional variance</w:t>
            </w:r>
          </w:p>
        </w:tc>
      </w:tr>
      <w:tr>
        <w:tc>
          <w:tcPr>
            <w:tcW w:type="dxa" w:w="1872"/>
            <w:tcMar>
              <w:top w:w="50" w:type="dxa"/>
              <w:bottom w:w="50" w:type="dxa"/>
              <w:left w:w="80" w:type="dxa"/>
              <w:right w:w="80" w:type="dxa"/>
            </w:tcMar>
          </w:tcPr>
          <w:p>
            <w:r/>
            <w:r>
              <w:rPr>
                <w:rFonts w:ascii="Times New Roman" w:hAnsi="Times New Roman"/>
                <w:b w:val="0"/>
                <w:i w:val="0"/>
                <w:color w:val="1A1A1A"/>
                <w:sz w:val="18"/>
              </w:rPr>
              <w:t>Structural mode</w:t>
            </w:r>
          </w:p>
        </w:tc>
        <w:tc>
          <w:tcPr>
            <w:tcW w:type="dxa" w:w="2160"/>
            <w:tcMar>
              <w:top w:w="50" w:type="dxa"/>
              <w:bottom w:w="50" w:type="dxa"/>
              <w:left w:w="80" w:type="dxa"/>
              <w:right w:w="80" w:type="dxa"/>
            </w:tcMar>
          </w:tcPr>
          <w:p>
            <w:r/>
            <w:r>
              <w:rPr>
                <w:rFonts w:ascii="Times New Roman" w:hAnsi="Times New Roman"/>
                <w:b w:val="0"/>
                <w:i w:val="0"/>
                <w:color w:val="1A1A1A"/>
                <w:sz w:val="18"/>
              </w:rPr>
              <w:t>Smooth convergence</w:t>
            </w:r>
          </w:p>
        </w:tc>
        <w:tc>
          <w:tcPr>
            <w:tcW w:type="dxa" w:w="4608"/>
            <w:tcMar>
              <w:top w:w="50" w:type="dxa"/>
              <w:bottom w:w="50" w:type="dxa"/>
              <w:left w:w="80" w:type="dxa"/>
              <w:right w:w="80" w:type="dxa"/>
            </w:tcMar>
          </w:tcPr>
          <w:p>
            <w:r/>
            <w:r>
              <w:rPr>
                <w:rFonts w:ascii="Times New Roman" w:hAnsi="Times New Roman"/>
                <w:b w:val="0"/>
                <w:i w:val="0"/>
                <w:color w:val="1A1A1A"/>
                <w:sz w:val="18"/>
              </w:rPr>
              <w:t>Single evolving population</w:t>
            </w:r>
          </w:p>
        </w:tc>
      </w:tr>
    </w:tbl>
    <w:p/>
    <w:p>
      <w:pPr>
        <w:spacing w:after="120"/>
      </w:pPr>
      <w:r>
        <w:rPr>
          <w:rFonts w:ascii="Times New Roman" w:hAnsi="Times New Roman"/>
          <w:b w:val="0"/>
          <w:i w:val="0"/>
          <w:color w:val="1A1A1A"/>
          <w:sz w:val="22"/>
        </w:rPr>
        <w:t>The NATURAL classification at δ = 1.9 × 10⁻⁴ from π/4 is noteworthy: it suggests that the compositional geometry of nuclear binding energy encodes a quarter-circle ratio. This is consistent with the known role of π in nuclear physics through the Fermi momentum integral, but the specific appearance of π/4 in the Aitchison variance trajectory is, to our knowledge, previously unreported.</w:t>
      </w:r>
    </w:p>
    <w:p>
      <w:pPr>
        <w:pStyle w:val="Heading2"/>
      </w:pPr>
      <w:r>
        <w:rPr>
          <w:rFonts w:ascii="Times New Roman" w:hAnsi="Times New Roman"/>
          <w:color w:val="000000"/>
        </w:rPr>
        <w:t>7.2. National electricity generation (Hs-M02)</w:t>
      </w:r>
    </w:p>
    <w:p>
      <w:pPr>
        <w:spacing w:after="120"/>
      </w:pPr>
      <w:r>
        <w:rPr>
          <w:rFonts w:ascii="Times New Roman" w:hAnsi="Times New Roman"/>
          <w:b w:val="0"/>
          <w:i w:val="0"/>
          <w:color w:val="1A1A1A"/>
          <w:sz w:val="22"/>
        </w:rPr>
        <w:t>The EMBER Global Electricity Review provides annual generation data by fuel type for 200+ countries. We analyse 7 nations (Germany, UK, Japan, France, USA, China, India) as 9-carrier compositions on S⁸ for 2000–2024 (N = 25). Key findings:</w:t>
      </w:r>
    </w:p>
    <w:p>
      <w:pPr>
        <w:spacing w:after="120"/>
      </w:pPr>
      <w:r>
        <w:rPr>
          <w:rFonts w:ascii="Times New Roman" w:hAnsi="Times New Roman"/>
          <w:b w:val="0"/>
          <w:i w:val="0"/>
          <w:color w:val="1A1A1A"/>
          <w:sz w:val="22"/>
        </w:rPr>
        <w:t>Germany exhibits the strongest structural signal: the coal-to-renewable substitution produces a variance trajectory with clear regime transition markers (stalls at 2011, 2017). France shows overconstrained character — its nuclear-dominated mix produces near-perfect HVLD fit (R² &gt; 0.95) with tight transcendental proximity. Japan's post-Fukushima trajectory shows a characteristic hill shape as nuclear shutdown disrupted the established compositional equilibrium.</w:t>
      </w:r>
    </w:p>
    <w:p>
      <w:pPr>
        <w:spacing w:after="120"/>
      </w:pPr>
      <w:r>
        <w:rPr>
          <w:rFonts w:ascii="Times New Roman" w:hAnsi="Times New Roman"/>
          <w:b w:val="0"/>
          <w:i w:val="0"/>
          <w:color w:val="1A1A1A"/>
          <w:sz w:val="22"/>
        </w:rPr>
        <w:t>Critically, the pipeline discovers these features without knowledge of energy policy, nuclear accidents, or climate agreements. The structural modes emerge from geometry alone.</w:t>
      </w:r>
    </w:p>
    <w:p>
      <w:pPr>
        <w:pStyle w:val="Heading2"/>
      </w:pPr>
      <w:r>
        <w:rPr>
          <w:rFonts w:ascii="Times New Roman" w:hAnsi="Times New Roman"/>
          <w:color w:val="000000"/>
        </w:rPr>
        <w:t>7.3. Adversarial validation</w:t>
      </w:r>
    </w:p>
    <w:p>
      <w:pPr>
        <w:spacing w:after="120"/>
      </w:pPr>
      <w:r>
        <w:rPr>
          <w:rFonts w:ascii="Times New Roman" w:hAnsi="Times New Roman"/>
          <w:b w:val="0"/>
          <w:i w:val="0"/>
          <w:color w:val="1A1A1A"/>
          <w:sz w:val="22"/>
        </w:rPr>
        <w:t>Twenty-one adversarial tests were run: uniform random, Dirichlet-distributed, permuted natural data, and deliberately constructed edge cases (extreme hierarchy, near-boundary compositions, constant data). The instrument correctly classified every synthetic composition as FLAG or INVESTIGATE, with zero false NATURAL classifications. The EITT test failed on all adversarial cases — synthetic data does not exhibit entropy invariance under geometric-mean decimation.</w:t>
      </w:r>
    </w:p>
    <w:p>
      <w:pPr>
        <w:pStyle w:val="Heading1"/>
      </w:pPr>
      <w:r>
        <w:rPr>
          <w:rFonts w:ascii="Times New Roman" w:hAnsi="Times New Roman"/>
          <w:color w:val="000000"/>
        </w:rPr>
        <w:t>8. Discussion</w:t>
      </w:r>
    </w:p>
    <w:p>
      <w:pPr>
        <w:pStyle w:val="Heading2"/>
      </w:pPr>
      <w:r>
        <w:rPr>
          <w:rFonts w:ascii="Times New Roman" w:hAnsi="Times New Roman"/>
          <w:color w:val="000000"/>
        </w:rPr>
        <w:t>8.1. The instrument category</w:t>
      </w:r>
    </w:p>
    <w:p>
      <w:pPr>
        <w:spacing w:after="120"/>
        <w:ind w:firstLine="432"/>
      </w:pPr>
      <w:r>
        <w:rPr>
          <w:rFonts w:ascii="Times New Roman" w:hAnsi="Times New Roman"/>
          <w:b w:val="0"/>
          <w:i w:val="0"/>
          <w:color w:val="1A1A1A"/>
          <w:sz w:val="22"/>
        </w:rPr>
        <w:t>Hˢ is not a statistical model. It does not estimate parameters, fit distributions, or test hypotheses. It is an instrument — a deterministic mapping from compositional data to geometric measurements. The distinction matters: a model's quality is judged by fit, prediction, or generalization; an instrument's quality is judged by precision, reproducibility, and resolution.</w:t>
      </w:r>
    </w:p>
    <w:p>
      <w:pPr>
        <w:spacing w:after="120"/>
        <w:ind w:firstLine="432"/>
      </w:pPr>
      <w:r>
        <w:rPr>
          <w:rFonts w:ascii="Times New Roman" w:hAnsi="Times New Roman"/>
          <w:b w:val="0"/>
          <w:i w:val="0"/>
          <w:color w:val="1A1A1A"/>
          <w:sz w:val="22"/>
        </w:rPr>
        <w:t>The instrument has zero tunable parameters. Its 52 internal constants are either mathematical identities (35 transcendental constants), IEEE 754 hardware limits (2), CoDa community standards (2 — zero replacement magnitude and D ≥ 2), detection thresholds that affect only which discovery codes fire (11), or estimation parameters that affect precision but not classification (2 — histogram bin counts). No constant can be adjusted to change the NATURAL/INVESTIGATE/FLAG classification of any tested dataset. This property — parametric invariance — is stronger than reproducibility: the instrument cannot be tuned to produce a desired result.</w:t>
      </w:r>
    </w:p>
    <w:p>
      <w:pPr>
        <w:pStyle w:val="Heading2"/>
      </w:pPr>
      <w:r>
        <w:rPr>
          <w:rFonts w:ascii="Times New Roman" w:hAnsi="Times New Roman"/>
          <w:color w:val="000000"/>
        </w:rPr>
        <w:t>8.2. Relationship to existing CoDa methods</w:t>
      </w:r>
    </w:p>
    <w:p>
      <w:pPr>
        <w:spacing w:after="120"/>
        <w:ind w:firstLine="432"/>
      </w:pPr>
      <w:r>
        <w:rPr>
          <w:rFonts w:ascii="Times New Roman" w:hAnsi="Times New Roman"/>
          <w:b w:val="0"/>
          <w:i w:val="0"/>
          <w:color w:val="1A1A1A"/>
          <w:sz w:val="22"/>
        </w:rPr>
        <w:t>Hˢ extends rather than replaces existing CoDa methodology. The CLR transform, Aitchison variance, and variation matrix are standard CoDa tools. The novel contributions are: (i) the cumulative variance trajectory as a diagnostic signal, (ii) the transcendental proximity classification, (iii) the entropy invariance test as a renormalization criterion, and (iv) the structural mode detection from code combinations. Each extension operates within Aitchison geometry and is compatible with ILR, ALR, and other standard coordinate systems.</w:t>
      </w:r>
    </w:p>
    <w:p>
      <w:pPr>
        <w:pStyle w:val="Heading2"/>
      </w:pPr>
      <w:r>
        <w:rPr>
          <w:rFonts w:ascii="Times New Roman" w:hAnsi="Times New Roman"/>
          <w:color w:val="000000"/>
        </w:rPr>
        <w:t>8.3. Limitations</w:t>
      </w:r>
    </w:p>
    <w:p>
      <w:pPr>
        <w:spacing w:after="120"/>
        <w:ind w:firstLine="432"/>
      </w:pPr>
      <w:r>
        <w:rPr>
          <w:rFonts w:ascii="Times New Roman" w:hAnsi="Times New Roman"/>
          <w:b w:val="0"/>
          <w:i w:val="0"/>
          <w:color w:val="1A1A1A"/>
          <w:sz w:val="22"/>
        </w:rPr>
        <w:t>The instrument has well-defined limitations. It cannot determine causation — it sees correlations in log-ratio space. It cannot handle time-varying carrier definitions — the carrier set is fixed at input. Its noise floor is set at δ₀ = 10⁻⁶:compositional components below this magnitude are replaced and cannot be resolved. It cannot distinguish between two systems that produce identical variance trajectories — the pipeline sees geometry, not physics. Finally, the transcendental proximity classification relies on an empirical observation (natural systems lock to constants) that does not yet have a theoretical proof.</w:t>
      </w:r>
    </w:p>
    <w:p>
      <w:pPr>
        <w:pStyle w:val="Heading2"/>
      </w:pPr>
      <w:r>
        <w:rPr>
          <w:rFonts w:ascii="Times New Roman" w:hAnsi="Times New Roman"/>
          <w:color w:val="000000"/>
        </w:rPr>
        <w:t>8.4. The crossflow principle</w:t>
      </w:r>
    </w:p>
    <w:p>
      <w:pPr>
        <w:spacing w:after="120"/>
        <w:ind w:firstLine="432"/>
      </w:pPr>
      <w:r>
        <w:rPr>
          <w:rFonts w:ascii="Times New Roman" w:hAnsi="Times New Roman"/>
          <w:b w:val="0"/>
          <w:i w:val="0"/>
          <w:color w:val="1A1A1A"/>
          <w:sz w:val="22"/>
        </w:rPr>
        <w:t>The Hˢ pipeline simultaneously decomposes data (breaking measurements into simplex parts, CLR coordinates, variance components) and assembles a manifold (building ternary projections, complex plane embeddings, and diagnostic code patterns into a coherent geometric characterization). This simultaneous decomposition and composition — which we call the crossflow — is the structural principle that makes manifold characterization possible. The decomposition reads the data; the manifold assembles the reading.</w:t>
      </w:r>
    </w:p>
    <w:p>
      <w:pPr>
        <w:pStyle w:val="Heading1"/>
      </w:pPr>
      <w:r>
        <w:rPr>
          <w:rFonts w:ascii="Times New Roman" w:hAnsi="Times New Roman"/>
          <w:color w:val="000000"/>
        </w:rPr>
        <w:t>9. Open Questions for the CoDa Community</w:t>
      </w:r>
    </w:p>
    <w:p>
      <w:pPr>
        <w:spacing w:after="120"/>
      </w:pPr>
      <w:r>
        <w:rPr>
          <w:rFonts w:ascii="Times New Roman" w:hAnsi="Times New Roman"/>
          <w:b w:val="0"/>
          <w:i w:val="0"/>
          <w:color w:val="1A1A1A"/>
          <w:sz w:val="22"/>
        </w:rPr>
        <w:t>We conclude by posing three questions that arise from this work and that we believe the compositional data analysis community is uniquely positioned to address.</w:t>
      </w:r>
    </w:p>
    <w:p>
      <w:pPr>
        <w:spacing w:after="120"/>
      </w:pPr>
      <w:r>
        <w:rPr>
          <w:rFonts w:ascii="Times New Roman" w:hAnsi="Times New Roman"/>
          <w:b w:val="0"/>
          <w:i w:val="0"/>
          <w:color w:val="1A1A1A"/>
          <w:sz w:val="22"/>
        </w:rPr>
        <w:t>Question 1: Can the entropy invariance under geometric-mean decimation be proved from Aitchison geometry? The empirical result — that natural compositions preserve mean Shannon entropy under geometric-mean decimation while synthetic compositions do not — has held across 60+ datasets. A proof would establish a new invariant of the simplex. A counterexample would be equally valuable.</w:t>
      </w:r>
    </w:p>
    <w:p>
      <w:pPr>
        <w:spacing w:after="120"/>
      </w:pPr>
      <w:r>
        <w:rPr>
          <w:rFonts w:ascii="Times New Roman" w:hAnsi="Times New Roman"/>
          <w:b w:val="0"/>
          <w:i w:val="0"/>
          <w:color w:val="1A1A1A"/>
          <w:sz w:val="22"/>
        </w:rPr>
        <w:t>Question 2: Does the HTP classification survive ILR substitution for CLR? The current pipeline uses the CLR transform. Since CLR and ILR coordinates are related by an orthogonal rotation, the total Aitchison variance is invariant. However, the individual σ²_A(t) trajectory values are not. Does the NATURAL/FLAG separation hold when the pipeline is re-implemented with ILR coordinates throughout?</w:t>
      </w:r>
    </w:p>
    <w:p>
      <w:pPr>
        <w:spacing w:after="120"/>
      </w:pPr>
      <w:r>
        <w:rPr>
          <w:rFonts w:ascii="Times New Roman" w:hAnsi="Times New Roman"/>
          <w:b w:val="0"/>
          <w:i w:val="0"/>
          <w:color w:val="1A1A1A"/>
          <w:sz w:val="22"/>
        </w:rPr>
        <w:t>Question 3: What does the instrument find on community benchmark datasets? The CoDa community maintains reference datasets (Aar glacier, household expenditure, etc.) with known compositional properties. Running Hˢ on these benchmarks would provide independent validation and potentially reveal structural features not previously documented.</w:t>
      </w:r>
    </w:p>
    <w:p>
      <w:pPr>
        <w:pStyle w:val="Heading1"/>
      </w:pPr>
      <w:r>
        <w:rPr>
          <w:rFonts w:ascii="Times New Roman" w:hAnsi="Times New Roman"/>
          <w:color w:val="000000"/>
        </w:rPr>
        <w:t>10. Conclusion</w:t>
      </w:r>
    </w:p>
    <w:p>
      <w:pPr>
        <w:spacing w:after="120"/>
        <w:ind w:firstLine="432"/>
      </w:pPr>
      <w:r>
        <w:rPr>
          <w:rFonts w:ascii="Times New Roman" w:hAnsi="Times New Roman"/>
          <w:b w:val="0"/>
          <w:i w:val="0"/>
          <w:color w:val="1A1A1A"/>
          <w:sz w:val="22"/>
        </w:rPr>
        <w:t>We have presented the Higgins Decomposition (Hˢ), a deterministic instrument for compositional manifold characterization. The instrument operates entirely within Aitchison geometry, has zero tunable parameters, produces bit-identical output on repeated runs, and discovers structural features of compositions without domain-specific knowledge.</w:t>
      </w:r>
    </w:p>
    <w:p>
      <w:pPr>
        <w:spacing w:after="120"/>
        <w:ind w:firstLine="432"/>
      </w:pPr>
      <w:r>
        <w:rPr>
          <w:rFonts w:ascii="Times New Roman" w:hAnsi="Times New Roman"/>
          <w:b w:val="0"/>
          <w:i w:val="0"/>
          <w:color w:val="1A1A1A"/>
          <w:sz w:val="22"/>
        </w:rPr>
        <w:t>The central contribution is the identification of manifold characterization as a distinct analytical category within compositional data analysis — neither regression nor classification nor factorization, but a structured geometric measurement of compositional character. The instrument reads; the manifold assembles; the crossflow is one.</w:t>
      </w:r>
    </w:p>
    <w:p>
      <w:pPr>
        <w:spacing w:after="120"/>
        <w:ind w:firstLine="432"/>
      </w:pPr>
      <w:r>
        <w:rPr>
          <w:rFonts w:ascii="Times New Roman" w:hAnsi="Times New Roman"/>
          <w:b w:val="0"/>
          <w:i w:val="0"/>
          <w:color w:val="1A1A1A"/>
          <w:sz w:val="22"/>
        </w:rPr>
        <w:t>The complete source code (Python, ~4,500 lines), 45-page software handbook with pseudocode and R translations, and all experimental data are publicly available at https://github.com/PeterHiggins19/higgins-decomposition under the CC BY 4.0 license.</w:t>
      </w:r>
    </w:p>
    <w:p>
      <w:pPr>
        <w:pStyle w:val="Heading1"/>
      </w:pPr>
      <w:r>
        <w:rPr>
          <w:rFonts w:ascii="Times New Roman" w:hAnsi="Times New Roman"/>
          <w:color w:val="000000"/>
        </w:rPr>
        <w:t>References</w:t>
      </w:r>
    </w:p>
    <w:p>
      <w:pPr>
        <w:spacing w:after="60"/>
        <w:ind w:left="576" w:hanging="576"/>
      </w:pPr>
      <w:r>
        <w:rPr>
          <w:rFonts w:ascii="Times New Roman" w:hAnsi="Times New Roman"/>
          <w:color w:val="1A1A1A"/>
          <w:sz w:val="19"/>
        </w:rPr>
        <w:t>[1]  Aitchison, J. (1982). The statistical analysis of compositional data. Journal of the Royal Statistical Society, Series B, 44(2), 139–177.</w:t>
      </w:r>
    </w:p>
    <w:p>
      <w:pPr>
        <w:spacing w:after="60"/>
        <w:ind w:left="576" w:hanging="576"/>
      </w:pPr>
      <w:r>
        <w:rPr>
          <w:rFonts w:ascii="Times New Roman" w:hAnsi="Times New Roman"/>
          <w:color w:val="1A1A1A"/>
          <w:sz w:val="19"/>
        </w:rPr>
        <w:t>[2]  Aitchison, J. (1986). The Statistical Analysis of Compositional Data. Chapman and Hall, London.</w:t>
      </w:r>
    </w:p>
    <w:p>
      <w:pPr>
        <w:spacing w:after="60"/>
        <w:ind w:left="576" w:hanging="576"/>
      </w:pPr>
      <w:r>
        <w:rPr>
          <w:rFonts w:ascii="Times New Roman" w:hAnsi="Times New Roman"/>
          <w:color w:val="1A1A1A"/>
          <w:sz w:val="19"/>
        </w:rPr>
        <w:t>[3]  Aitchison, J., and Egozcue, J. J. (2005). Compositional data analysis: Where are we and where should we be heading? Mathematical Geology, 37(7), 829–850.</w:t>
      </w:r>
    </w:p>
    <w:p>
      <w:pPr>
        <w:spacing w:after="60"/>
        <w:ind w:left="576" w:hanging="576"/>
      </w:pPr>
      <w:r>
        <w:rPr>
          <w:rFonts w:ascii="Times New Roman" w:hAnsi="Times New Roman"/>
          <w:color w:val="1A1A1A"/>
          <w:sz w:val="19"/>
        </w:rPr>
        <w:t>[4]  Egozcue, J. J., Pawlowsky-Glahn, V., Mateu-Figueras, G., and Barceló-Vidal, C. (2003). Isometric logratio transformations for compositional data analysis. Mathematical Geology, 35(3), 279–300.</w:t>
      </w:r>
    </w:p>
    <w:p>
      <w:pPr>
        <w:spacing w:after="60"/>
        <w:ind w:left="576" w:hanging="576"/>
      </w:pPr>
      <w:r>
        <w:rPr>
          <w:rFonts w:ascii="Times New Roman" w:hAnsi="Times New Roman"/>
          <w:color w:val="1A1A1A"/>
          <w:sz w:val="19"/>
        </w:rPr>
        <w:t>[5]  EMBER (2025). Global Electricity Review 2025. https://ember-climate.org/data-catalogue/yearly-electricity-data/</w:t>
      </w:r>
    </w:p>
    <w:p>
      <w:pPr>
        <w:spacing w:after="60"/>
        <w:ind w:left="576" w:hanging="576"/>
      </w:pPr>
      <w:r>
        <w:rPr>
          <w:rFonts w:ascii="Times New Roman" w:hAnsi="Times New Roman"/>
          <w:color w:val="1A1A1A"/>
          <w:sz w:val="19"/>
        </w:rPr>
        <w:t>[6]  Filzmoser, P., Hron, K., and Templ, M. (2018). Applied Compositional Data Analysis. Springer.</w:t>
      </w:r>
    </w:p>
    <w:p>
      <w:pPr>
        <w:spacing w:after="60"/>
        <w:ind w:left="576" w:hanging="576"/>
      </w:pPr>
      <w:r>
        <w:rPr>
          <w:rFonts w:ascii="Times New Roman" w:hAnsi="Times New Roman"/>
          <w:color w:val="1A1A1A"/>
          <w:sz w:val="19"/>
        </w:rPr>
        <w:t>[7]  Martín-Fernández, J. A., Barceló-Vidal, C., and Pawlowsky-Glahn, V. (2003). Dealing with zeros and missing values in compositional data sets using nonparametric imputation. Mathematical Geology, 35(3), 253–278.</w:t>
      </w:r>
    </w:p>
    <w:p>
      <w:pPr>
        <w:spacing w:after="60"/>
        <w:ind w:left="576" w:hanging="576"/>
      </w:pPr>
      <w:r>
        <w:rPr>
          <w:rFonts w:ascii="Times New Roman" w:hAnsi="Times New Roman"/>
          <w:color w:val="1A1A1A"/>
          <w:sz w:val="19"/>
        </w:rPr>
        <w:t>[8]  Pawlowsky-Glahn, V., and Buccianti, A. (2011). Compositional Data Analysis: Theory and Applications. Wiley.</w:t>
      </w:r>
    </w:p>
    <w:p>
      <w:pPr>
        <w:spacing w:after="60"/>
        <w:ind w:left="576" w:hanging="576"/>
      </w:pPr>
      <w:r>
        <w:rPr>
          <w:rFonts w:ascii="Times New Roman" w:hAnsi="Times New Roman"/>
          <w:color w:val="1A1A1A"/>
          <w:sz w:val="19"/>
        </w:rPr>
        <w:t>[9]  Pawlowsky-Glahn, V., Egozcue, J. J., and Tolosana-Delgado, R. (2015). Modeling and Analysis of Compositional Data. Wiley.</w:t>
      </w:r>
    </w:p>
    <w:p>
      <w:pPr>
        <w:spacing w:after="60"/>
        <w:ind w:left="576" w:hanging="576"/>
      </w:pPr>
      <w:r>
        <w:rPr>
          <w:rFonts w:ascii="Times New Roman" w:hAnsi="Times New Roman"/>
          <w:color w:val="1A1A1A"/>
          <w:sz w:val="19"/>
        </w:rPr>
        <w:t>[10]  Van den Boogaart, K. G., and Tolosana-Delgado, R. (2013). Analyzing Compositional Data with R. Springer.</w:t>
      </w:r>
    </w:p>
    <w:p>
      <w:pPr>
        <w:spacing w:after="60"/>
        <w:ind w:left="576" w:hanging="576"/>
      </w:pPr>
      <w:r>
        <w:rPr>
          <w:rFonts w:ascii="Times New Roman" w:hAnsi="Times New Roman"/>
          <w:color w:val="1A1A1A"/>
          <w:sz w:val="19"/>
        </w:rPr>
        <w:t>[11]  Wang, M., Audi, G., et al. (2021). The AME 2020 atomic mass evaluation. Chinese Physics C, 45(3), 030003.</w:t>
      </w:r>
    </w:p>
    <w:p>
      <w:pPr>
        <w:spacing w:after="60"/>
        <w:ind w:left="576" w:hanging="576"/>
      </w:pPr>
      <w:r>
        <w:rPr>
          <w:rFonts w:ascii="Times New Roman" w:hAnsi="Times New Roman"/>
          <w:color w:val="1A1A1A"/>
          <w:sz w:val="19"/>
        </w:rPr>
        <w:t>[12]  Wilson, K. G. (1971). Renormalization group and critical phenomena. Physical Review B, 4(9), 3174–3183.</w:t>
      </w:r>
    </w:p>
    <w:p>
      <w:pPr>
        <w:spacing w:after="60"/>
        <w:ind w:left="576" w:hanging="576"/>
      </w:pPr>
      <w:r>
        <w:rPr>
          <w:rFonts w:ascii="Times New Roman" w:hAnsi="Times New Roman"/>
          <w:color w:val="1A1A1A"/>
          <w:sz w:val="19"/>
        </w:rPr>
        <w:t>[13]  Weizsäcker, C. F. von (1935). Zur Theorie der Kernmassen. Zeitschrift für Physik, 96(7-8), 431–458.</w:t>
      </w:r>
    </w:p>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66666"/>
        <w:sz w:val="16"/>
      </w:rPr>
      <w:t xml:space="preserve">Higgins — Manifold Characterization by Decomposition — </w:t>
    </w: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