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olor w:val="1A1A2E"/>
          <w:sz w:val="56"/>
          <w:szCs w:val="56"/>
        </w:rPr>
        <w:t xml:space="preserve">The Higgins Coordinate System</w:t>
      </w:r>
    </w:p>
    <w:p>
      <w:pPr>
        <w:spacing w:after="200" w:before="120"/>
        <w:jc w:val="center"/>
      </w:pPr>
      <w:r>
        <w:rPr>
          <w:rFonts w:ascii="Arial" w:cs="Arial" w:eastAsia="Arial" w:hAnsi="Arial"/>
          <w:color w:val="2E4057"/>
          <w:sz w:val="44"/>
          <w:szCs w:val="44"/>
        </w:rPr>
        <w:t xml:space="preserve">Handbook</w:t>
      </w:r>
    </w:p>
    <w:p>
      <w:pPr>
        <w:spacing w:after="400" w:before="60"/>
        <w:jc w:val="center"/>
      </w:pPr>
      <w:r>
        <w:rPr>
          <w:rFonts w:ascii="Arial" w:cs="Arial" w:eastAsia="Arial" w:hAnsi="Arial"/>
          <w:i/>
          <w:iCs/>
          <w:color w:val="666666"/>
          <w:sz w:val="24"/>
          <w:szCs w:val="24"/>
        </w:rPr>
        <w:t xml:space="preserve">Version 4.1 — The Barycentric Foundation</w:t>
      </w:r>
    </w:p>
    <w:p>
      <w:pPr>
        <w:jc w:val="center"/>
      </w:pPr>
      <w:r>
        <w:rPr>
          <w:rFonts w:ascii="Arial" w:cs="Arial" w:eastAsia="Arial" w:hAnsi="Arial"/>
          <w:color w:val="444444"/>
          <w:sz w:val="22"/>
          <w:szCs w:val="22"/>
        </w:rPr>
        <w:t xml:space="preserve">A Deterministic Instrument for Reading Compositional Structure</w:t>
      </w:r>
    </w:p>
    <w:p>
      <w:pPr>
        <w:spacing w:after="0" w:before="600"/>
      </w:pPr>
    </w:p>
    <w:p>
      <w:pPr>
        <w:jc w:val="center"/>
      </w:pPr>
      <w:r>
        <w:rPr>
          <w:rFonts w:ascii="Arial" w:cs="Arial" w:eastAsia="Arial" w:hAnsi="Arial"/>
          <w:b/>
          <w:bCs/>
          <w:sz w:val="26"/>
          <w:szCs w:val="26"/>
        </w:rPr>
        <w:t xml:space="preserve">Peter Higgins</w:t>
      </w:r>
    </w:p>
    <w:p>
      <w:pPr>
        <w:jc w:val="center"/>
      </w:pPr>
      <w:r>
        <w:rPr>
          <w:rFonts w:ascii="Arial" w:cs="Arial" w:eastAsia="Arial" w:hAnsi="Arial"/>
          <w:color w:val="666666"/>
          <w:sz w:val="20"/>
          <w:szCs w:val="20"/>
        </w:rPr>
        <w:t xml:space="preserve">Independent Researcher — Markham, Ontario, Canada</w:t>
      </w:r>
    </w:p>
    <w:p>
      <w:pPr>
        <w:spacing w:after="200" w:before="60"/>
        <w:jc w:val="center"/>
      </w:pPr>
      <w:r>
        <w:rPr>
          <w:rFonts w:ascii="Arial" w:cs="Arial" w:eastAsia="Arial" w:hAnsi="Arial"/>
          <w:color w:val="666666"/>
          <w:sz w:val="20"/>
          <w:szCs w:val="20"/>
        </w:rPr>
        <w:t xml:space="preserve">Rogue Wave Audio — RWA-001</w:t>
      </w:r>
    </w:p>
    <w:p>
      <w:pPr>
        <w:jc w:val="center"/>
      </w:pPr>
      <w:r>
        <w:rPr>
          <w:rFonts w:ascii="Arial" w:cs="Arial" w:eastAsia="Arial" w:hAnsi="Arial"/>
          <w:color w:val="888888"/>
          <w:sz w:val="20"/>
          <w:szCs w:val="20"/>
        </w:rPr>
        <w:t xml:space="preserve">1 May 2026</w:t>
      </w:r>
    </w:p>
    <w:p>
      <w:pPr>
        <w:spacing w:after="0" w:before="400"/>
      </w:pPr>
    </w:p>
    <w:p>
      <w:pPr>
        <w:jc w:val="center"/>
      </w:pPr>
      <w:r>
        <w:rPr>
          <w:rFonts w:ascii="Arial" w:cs="Arial" w:eastAsia="Arial" w:hAnsi="Arial"/>
          <w:i/>
          <w:iCs/>
          <w:color w:val="888888"/>
          <w:sz w:val="20"/>
          <w:szCs w:val="20"/>
        </w:rPr>
        <w:t xml:space="preserve">The instrument reads. The expert decides. The loop stays open.</w:t>
      </w:r>
    </w:p>
    <w:p>
      <w:r>
        <w:br w:type="page"/>
      </w:r>
    </w:p>
    <w:p>
      <w:pPr>
        <w:spacing w:after="400" w:before="600"/>
        <w:jc w:val="center"/>
      </w:pPr>
      <w:r>
        <w:rPr>
          <w:rFonts w:ascii="Arial" w:cs="Arial" w:eastAsia="Arial" w:hAnsi="Arial"/>
          <w:b/>
          <w:bCs/>
          <w:color w:val="1A1A2E"/>
          <w:sz w:val="36"/>
          <w:szCs w:val="36"/>
        </w:rPr>
        <w:t xml:space="preserve">Part I: Foundations</w:t>
      </w:r>
    </w:p>
    <w:p>
      <w:pPr>
        <w:pStyle w:val="Heading1"/>
        <w:spacing w:after="200" w:before="300"/>
      </w:pPr>
      <w:r>
        <w:rPr>
          <w:rFonts w:ascii="Arial" w:cs="Arial" w:eastAsia="Arial" w:hAnsi="Arial"/>
          <w:b/>
          <w:bCs/>
          <w:sz w:val="32"/>
          <w:szCs w:val="32"/>
        </w:rPr>
        <w:t xml:space="preserve">1. The Starting Point</w:t>
      </w:r>
    </w:p>
    <w:p>
      <w:pPr>
        <w:spacing w:after="60" w:before="60"/>
      </w:pPr>
      <w:r>
        <w:rPr>
          <w:rFonts w:ascii="Arial" w:cs="Arial" w:eastAsia="Arial" w:hAnsi="Arial"/>
          <w:sz w:val="22"/>
          <w:szCs w:val="22"/>
        </w:rPr>
        <w:t xml:space="preserve">This handbook defines the Higgins Coordinate System from first principles. It replaces all prior specifications. The system was developed over 8 days (22–30 April 2026) and tested across 18 scientific domains spanning 44 orders of magnitude. It has produced 32 publication-worthy findings, 4 mathematical proofs, and a complete diagnostic system of 106 codes and 14 structural modes.</w:t>
      </w:r>
    </w:p>
    <w:p>
      <w:pPr>
        <w:spacing w:after="60" w:before="60"/>
      </w:pPr>
      <w:r>
        <w:rPr>
          <w:rFonts w:ascii="Arial" w:cs="Arial" w:eastAsia="Arial" w:hAnsi="Arial"/>
          <w:sz w:val="22"/>
          <w:szCs w:val="22"/>
        </w:rPr>
        <w:t xml:space="preserve">The system rests on one axiom, uses CoDa-approved mathematics throughout, and separates into two stages: a direct computation that any researcher can verify with a calculator, and an advanced analysis engine that reads what the direct computation reveals.</w:t>
      </w:r>
    </w:p>
    <w:p>
      <w:pPr>
        <w:pStyle w:val="Heading2"/>
        <w:spacing w:after="120" w:before="200"/>
      </w:pPr>
      <w:r>
        <w:rPr>
          <w:rFonts w:ascii="Arial" w:cs="Arial" w:eastAsia="Arial" w:hAnsi="Arial"/>
          <w:b/>
          <w:bCs/>
          <w:sz w:val="26"/>
          <w:szCs w:val="26"/>
        </w:rPr>
        <w:t xml:space="preserve">1.1 The Generating Axiom</w:t>
      </w:r>
    </w:p>
    <w:p>
      <w:pPr>
        <w:spacing w:after="60" w:before="60"/>
      </w:pPr>
      <w:r>
        <w:rPr>
          <w:rFonts w:ascii="Arial" w:cs="Arial" w:eastAsia="Arial" w:hAnsi="Arial"/>
          <w:sz w:val="22"/>
          <w:szCs w:val="22"/>
        </w:rPr>
        <w:t xml:space="preserve">For all compositions X:</w:t>
      </w:r>
    </w:p>
    <w:p>
      <w:pPr>
        <w:spacing w:after="40" w:before="40"/>
        <w:ind w:left="720"/>
      </w:pPr>
      <w:r>
        <w:rPr>
          <w:rFonts w:ascii="Consolas" w:cs="Consolas" w:eastAsia="Consolas" w:hAnsi="Consolas"/>
          <w:color w:val="2E4057"/>
          <w:sz w:val="22"/>
          <w:szCs w:val="22"/>
        </w:rPr>
        <w:t xml:space="preserve">Hs(X) = Hs(X)</w:t>
      </w:r>
    </w:p>
    <w:p>
      <w:pPr>
        <w:spacing w:after="60" w:before="60"/>
      </w:pPr>
      <w:r>
        <w:rPr>
          <w:rFonts w:ascii="Arial" w:cs="Arial" w:eastAsia="Arial" w:hAnsi="Arial"/>
          <w:sz w:val="22"/>
          <w:szCs w:val="22"/>
        </w:rPr>
        <w:t xml:space="preserve">The function is pure. Same input, same output, always. No hidden state, no randomness, no side effects. From this single axiom, three constraints follow:</w:t>
      </w:r>
    </w:p>
    <w:p>
      <w:pPr>
        <w:spacing w:after="60" w:before="60"/>
      </w:pPr>
      <w:r>
        <w:rPr>
          <w:rFonts w:ascii="Arial" w:cs="Arial" w:eastAsia="Arial" w:hAnsi="Arial"/>
          <w:b/>
          <w:bCs/>
          <w:sz w:val="22"/>
          <w:szCs w:val="22"/>
        </w:rPr>
        <w:t xml:space="preserve">Closure. </w:t>
      </w:r>
      <w:r>
        <w:rPr>
          <w:rFonts w:ascii="Arial" w:cs="Arial" w:eastAsia="Arial" w:hAnsi="Arial"/>
          <w:sz w:val="22"/>
          <w:szCs w:val="22"/>
        </w:rPr>
        <w:t xml:space="preserve">The reading depends on nothing outside the input. The function is self-contained.</w:t>
      </w:r>
    </w:p>
    <w:p>
      <w:pPr>
        <w:spacing w:after="60" w:before="60"/>
      </w:pPr>
      <w:r>
        <w:rPr>
          <w:rFonts w:ascii="Arial" w:cs="Arial" w:eastAsia="Arial" w:hAnsi="Arial"/>
          <w:b/>
          <w:bCs/>
          <w:sz w:val="22"/>
          <w:szCs w:val="22"/>
        </w:rPr>
        <w:t xml:space="preserve">Completeness. </w:t>
      </w:r>
      <w:r>
        <w:rPr>
          <w:rFonts w:ascii="Arial" w:cs="Arial" w:eastAsia="Arial" w:hAnsi="Arial"/>
          <w:sz w:val="22"/>
          <w:szCs w:val="22"/>
        </w:rPr>
        <w:t xml:space="preserve">For every valid input, the output exists. The domain must be bounded — there must be guards.</w:t>
      </w:r>
    </w:p>
    <w:p>
      <w:pPr>
        <w:spacing w:after="60" w:before="60"/>
      </w:pPr>
      <w:r>
        <w:rPr>
          <w:rFonts w:ascii="Arial" w:cs="Arial" w:eastAsia="Arial" w:hAnsi="Arial"/>
          <w:b/>
          <w:bCs/>
          <w:sz w:val="22"/>
          <w:szCs w:val="22"/>
        </w:rPr>
        <w:t xml:space="preserve">Invariance. </w:t>
      </w:r>
      <w:r>
        <w:rPr>
          <w:rFonts w:ascii="Arial" w:cs="Arial" w:eastAsia="Arial" w:hAnsi="Arial"/>
          <w:sz w:val="22"/>
          <w:szCs w:val="22"/>
        </w:rPr>
        <w:t xml:space="preserve">The output does not change between calls. Every sub-function must also be deterministic. Therefore: the function decomposes into self-similar parts.</w:t>
      </w:r>
    </w:p>
    <w:p>
      <w:pPr>
        <w:pStyle w:val="Heading2"/>
        <w:spacing w:after="120" w:before="200"/>
      </w:pPr>
      <w:r>
        <w:rPr>
          <w:rFonts w:ascii="Arial" w:cs="Arial" w:eastAsia="Arial" w:hAnsi="Arial"/>
          <w:b/>
          <w:bCs/>
          <w:sz w:val="26"/>
          <w:szCs w:val="26"/>
        </w:rPr>
        <w:t xml:space="preserve">1.2 The Barycentre</w:t>
      </w:r>
    </w:p>
    <w:p>
      <w:pPr>
        <w:spacing w:after="60" w:before="60"/>
      </w:pPr>
      <w:r>
        <w:rPr>
          <w:rFonts w:ascii="Arial" w:cs="Arial" w:eastAsia="Arial" w:hAnsi="Arial"/>
          <w:sz w:val="22"/>
          <w:szCs w:val="22"/>
        </w:rPr>
        <w:t xml:space="preserve">A composition is a vector of D positive parts carrying relative information only. The absolute size is lost at closure. What remains is structure.</w:t>
      </w:r>
    </w:p>
    <w:p>
      <w:pPr>
        <w:spacing w:after="60" w:before="60"/>
      </w:pPr>
      <w:r>
        <w:rPr>
          <w:rFonts w:ascii="Arial" w:cs="Arial" w:eastAsia="Arial" w:hAnsi="Arial"/>
          <w:sz w:val="22"/>
          <w:szCs w:val="22"/>
        </w:rPr>
        <w:t xml:space="preserve">The barycentre of the D-simplex is the uniform composition:</w:t>
      </w:r>
    </w:p>
    <w:p>
      <w:pPr>
        <w:spacing w:after="40" w:before="40"/>
        <w:ind w:left="720"/>
      </w:pPr>
      <w:r>
        <w:rPr>
          <w:rFonts w:ascii="Consolas" w:cs="Consolas" w:eastAsia="Consolas" w:hAnsi="Consolas"/>
          <w:color w:val="2E4057"/>
          <w:sz w:val="22"/>
          <w:szCs w:val="22"/>
        </w:rPr>
        <w:t xml:space="preserve">e = (1/D, 1/D, ..., 1/D)</w:t>
      </w:r>
    </w:p>
    <w:p>
      <w:pPr>
        <w:spacing w:after="60" w:before="60"/>
      </w:pPr>
      <w:r>
        <w:rPr>
          <w:rFonts w:ascii="Arial" w:cs="Arial" w:eastAsia="Arial" w:hAnsi="Arial"/>
          <w:sz w:val="22"/>
          <w:szCs w:val="22"/>
        </w:rPr>
        <w:t xml:space="preserve">This is the point of maximum symmetry — every carrier contributes equally. It is fixed by the geometry of the simplex, not by the data. It does not move. It is the single fixed reference against which all structure is measured.</w:t>
      </w:r>
    </w:p>
    <w:p>
      <w:pPr>
        <w:spacing w:after="60" w:before="60"/>
      </w:pPr>
      <w:r>
        <w:rPr>
          <w:rFonts w:ascii="Arial" w:cs="Arial" w:eastAsia="Arial" w:hAnsi="Arial"/>
          <w:sz w:val="22"/>
          <w:szCs w:val="22"/>
        </w:rPr>
        <w:t xml:space="preserve">In the Poincaré disc, the barycentre maps to the origin (r_P = 0). In the polar slice, it is the centre of the grid. In every cube face projection, it is the zero axis. Everything radiates from here.</w:t>
      </w:r>
    </w:p>
    <w:p>
      <w:pPr>
        <w:pStyle w:val="Heading1"/>
        <w:spacing w:after="200" w:before="300"/>
      </w:pPr>
      <w:r>
        <w:rPr>
          <w:rFonts w:ascii="Arial" w:cs="Arial" w:eastAsia="Arial" w:hAnsi="Arial"/>
          <w:b/>
          <w:bCs/>
          <w:sz w:val="32"/>
          <w:szCs w:val="32"/>
        </w:rPr>
        <w:t xml:space="preserve">2. The Higgins Coordinate</w:t>
      </w:r>
    </w:p>
    <w:p>
      <w:pPr>
        <w:pStyle w:val="Heading2"/>
        <w:spacing w:after="120" w:before="200"/>
      </w:pPr>
      <w:r>
        <w:rPr>
          <w:rFonts w:ascii="Arial" w:cs="Arial" w:eastAsia="Arial" w:hAnsi="Arial"/>
          <w:b/>
          <w:bCs/>
          <w:sz w:val="26"/>
          <w:szCs w:val="26"/>
        </w:rPr>
        <w:t xml:space="preserve">2.1 Definition</w:t>
      </w:r>
    </w:p>
    <w:p>
      <w:pPr>
        <w:spacing w:after="60" w:before="60"/>
      </w:pPr>
      <w:r>
        <w:rPr>
          <w:rFonts w:ascii="Arial" w:cs="Arial" w:eastAsia="Arial" w:hAnsi="Arial"/>
          <w:sz w:val="22"/>
          <w:szCs w:val="22"/>
        </w:rPr>
        <w:t xml:space="preserve">Given a composition x(t) at observation index t, the Higgins Coordinate is:</w:t>
      </w:r>
    </w:p>
    <w:p>
      <w:pPr>
        <w:spacing w:after="40" w:before="40"/>
        <w:ind w:left="720"/>
      </w:pPr>
      <w:r>
        <w:rPr>
          <w:rFonts w:ascii="Consolas" w:cs="Consolas" w:eastAsia="Consolas" w:hAnsi="Consolas"/>
          <w:color w:val="2E4057"/>
          <w:sz w:val="22"/>
          <w:szCs w:val="22"/>
        </w:rPr>
        <w:t xml:space="preserve">h(t) = CLR(x(t))</w:t>
      </w:r>
    </w:p>
    <w:p>
      <w:pPr>
        <w:spacing w:after="60" w:before="60"/>
      </w:pPr>
      <w:r>
        <w:rPr>
          <w:rFonts w:ascii="Arial" w:cs="Arial" w:eastAsia="Arial" w:hAnsi="Arial"/>
          <w:sz w:val="22"/>
          <w:szCs w:val="22"/>
        </w:rPr>
        <w:t xml:space="preserve">where CLR is the Centred Log-Ratio transform (Aitchison, 1986):</w:t>
      </w:r>
    </w:p>
    <w:p>
      <w:pPr>
        <w:spacing w:after="40" w:before="40"/>
        <w:ind w:left="720"/>
      </w:pPr>
      <w:r>
        <w:rPr>
          <w:rFonts w:ascii="Consolas" w:cs="Consolas" w:eastAsia="Consolas" w:hAnsi="Consolas"/>
          <w:color w:val="2E4057"/>
          <w:sz w:val="22"/>
          <w:szCs w:val="22"/>
        </w:rPr>
        <w:t xml:space="preserve">h_j(t) = ln(x_j(t)) − (1/D) · Σ_k ln(x_k(t))</w:t>
      </w:r>
    </w:p>
    <w:p>
      <w:pPr>
        <w:spacing w:after="60" w:before="60"/>
      </w:pPr>
      <w:r>
        <w:rPr>
          <w:rFonts w:ascii="Arial" w:cs="Arial" w:eastAsia="Arial" w:hAnsi="Arial"/>
          <w:sz w:val="22"/>
          <w:szCs w:val="22"/>
        </w:rPr>
        <w:t xml:space="preserve">This maps compositions from the D-simplex to ℝᴰ, where the image lies in a (D−1)-dimensional hyperplane through the origin, satisfying:</w:t>
      </w:r>
    </w:p>
    <w:p>
      <w:pPr>
        <w:spacing w:after="40" w:before="40"/>
        <w:ind w:left="720"/>
      </w:pPr>
      <w:r>
        <w:rPr>
          <w:rFonts w:ascii="Consolas" w:cs="Consolas" w:eastAsia="Consolas" w:hAnsi="Consolas"/>
          <w:color w:val="2E4057"/>
          <w:sz w:val="22"/>
          <w:szCs w:val="22"/>
        </w:rPr>
        <w:t xml:space="preserve">Σ_j h_j(t) = 0</w:t>
      </w:r>
    </w:p>
    <w:p>
      <w:pPr>
        <w:pStyle w:val="Heading2"/>
        <w:spacing w:after="120" w:before="200"/>
      </w:pPr>
      <w:r>
        <w:rPr>
          <w:rFonts w:ascii="Arial" w:cs="Arial" w:eastAsia="Arial" w:hAnsi="Arial"/>
          <w:b/>
          <w:bCs/>
          <w:sz w:val="26"/>
          <w:szCs w:val="26"/>
        </w:rPr>
        <w:t xml:space="preserve">2.2 Proof of the Zero-Sum Constraint</w:t>
      </w:r>
    </w:p>
    <w:p>
      <w:pPr>
        <w:spacing w:after="40" w:before="40"/>
        <w:ind w:left="720"/>
      </w:pPr>
      <w:r>
        <w:rPr>
          <w:rFonts w:ascii="Consolas" w:cs="Consolas" w:eastAsia="Consolas" w:hAnsi="Consolas"/>
          <w:color w:val="2E4057"/>
          <w:sz w:val="22"/>
          <w:szCs w:val="22"/>
        </w:rPr>
        <w:t xml:space="preserve">Σ_j h_j = Σ_j [ln(x_j) − (1/D)·Σ_k ln(x_k)]</w:t>
      </w:r>
    </w:p>
    <w:p>
      <w:pPr>
        <w:spacing w:after="40" w:before="40"/>
        <w:ind w:left="720"/>
      </w:pPr>
      <w:r>
        <w:rPr>
          <w:rFonts w:ascii="Consolas" w:cs="Consolas" w:eastAsia="Consolas" w:hAnsi="Consolas"/>
          <w:color w:val="2E4057"/>
          <w:sz w:val="22"/>
          <w:szCs w:val="22"/>
        </w:rPr>
        <w:t xml:space="preserve">       = Σ_j ln(x_j) − D·(1/D)·Σ_k ln(x_k)</w:t>
      </w:r>
    </w:p>
    <w:p>
      <w:pPr>
        <w:spacing w:after="40" w:before="40"/>
        <w:ind w:left="720"/>
      </w:pPr>
      <w:r>
        <w:rPr>
          <w:rFonts w:ascii="Consolas" w:cs="Consolas" w:eastAsia="Consolas" w:hAnsi="Consolas"/>
          <w:color w:val="2E4057"/>
          <w:sz w:val="22"/>
          <w:szCs w:val="22"/>
        </w:rPr>
        <w:t xml:space="preserve">       = Σ_j ln(x_j) − Σ_j ln(x_j) = 0  ■</w:t>
      </w:r>
    </w:p>
    <w:p>
      <w:pPr>
        <w:spacing w:after="60" w:before="60"/>
      </w:pPr>
      <w:r>
        <w:rPr>
          <w:rFonts w:ascii="Arial" w:cs="Arial" w:eastAsia="Arial" w:hAnsi="Arial"/>
          <w:sz w:val="22"/>
          <w:szCs w:val="22"/>
        </w:rPr>
        <w:t xml:space="preserve">This is algebraic identity, not approximation. It holds for every composition at every observation index.</w:t>
      </w:r>
    </w:p>
    <w:p>
      <w:pPr>
        <w:spacing w:after="60" w:before="60"/>
      </w:pPr>
      <w:r>
        <w:rPr>
          <w:rFonts w:ascii="Arial" w:cs="Arial" w:eastAsia="Arial" w:hAnsi="Arial"/>
          <w:b/>
          <w:bCs/>
          <w:sz w:val="22"/>
          <w:szCs w:val="22"/>
        </w:rPr>
        <w:t xml:space="preserve">h(t) is a position vector from the barycentre to the data point. </w:t>
      </w:r>
      <w:r>
        <w:rPr>
          <w:rFonts w:ascii="Arial" w:cs="Arial" w:eastAsia="Arial" w:hAnsi="Arial"/>
          <w:sz w:val="22"/>
          <w:szCs w:val="22"/>
        </w:rPr>
        <w:t xml:space="preserve">This is not an interpretation — it is the mathematical definition of the CLR transform. Each h(t) is computed from x(t) alone. No other observation is required. No inter-point connection exists.</w:t>
      </w:r>
    </w:p>
    <w:p>
      <w:pPr>
        <w:pStyle w:val="Heading2"/>
        <w:spacing w:after="120" w:before="200"/>
      </w:pPr>
      <w:r>
        <w:rPr>
          <w:rFonts w:ascii="Arial" w:cs="Arial" w:eastAsia="Arial" w:hAnsi="Arial"/>
          <w:b/>
          <w:bCs/>
          <w:sz w:val="26"/>
          <w:szCs w:val="26"/>
        </w:rPr>
        <w:t xml:space="preserve">2.3 Properties</w:t>
      </w:r>
    </w:p>
    <w:p>
      <w:pPr>
        <w:spacing w:after="60" w:before="60"/>
      </w:pPr>
      <w:r>
        <w:rPr>
          <w:rFonts w:ascii="Arial" w:cs="Arial" w:eastAsia="Arial" w:hAnsi="Arial"/>
          <w:b/>
          <w:bCs/>
          <w:sz w:val="22"/>
          <w:szCs w:val="22"/>
        </w:rPr>
        <w:t xml:space="preserve">Magnitude. </w:t>
      </w:r>
      <w:r>
        <w:rPr>
          <w:rFonts w:ascii="Arial" w:cs="Arial" w:eastAsia="Arial" w:hAnsi="Arial"/>
          <w:sz w:val="22"/>
          <w:szCs w:val="22"/>
        </w:rPr>
        <w:t xml:space="preserve">The Aitchison norm ||h(t)||_A = √(Σ_j h_j(t)²) measures the distance from the barycentre. At uniform composition, ||h|| = 0. As composition concentrates on a single carrier, ||h|| → ∞.</w:t>
      </w:r>
    </w:p>
    <w:p>
      <w:pPr>
        <w:spacing w:after="40" w:before="40"/>
      </w:pPr>
      <w:r>
        <w:rPr>
          <w:rFonts w:ascii="Arial" w:cs="Arial" w:eastAsia="Arial" w:hAnsi="Arial"/>
          <w:i/>
          <w:iCs/>
          <w:color w:val="666666"/>
          <w:sz w:val="18"/>
          <w:szCs w:val="18"/>
        </w:rPr>
        <w:t xml:space="preserve">Note: Standard CoDa defines ||x||_A = √((1/D)·Σ CLR_j²). The Hs pipeline uses the unnormalised form √(Σ CLR_j²) throughout. This is a uniform scaling by √D. All distances, norms, and comparisons within the system are self-consistent.</w:t>
      </w:r>
    </w:p>
    <w:p>
      <w:pPr>
        <w:spacing w:after="60" w:before="60"/>
      </w:pPr>
      <w:r>
        <w:rPr>
          <w:rFonts w:ascii="Arial" w:cs="Arial" w:eastAsia="Arial" w:hAnsi="Arial"/>
          <w:b/>
          <w:bCs/>
          <w:sz w:val="22"/>
          <w:szCs w:val="22"/>
        </w:rPr>
        <w:t xml:space="preserve">Direction. </w:t>
      </w:r>
      <w:r>
        <w:rPr>
          <w:rFonts w:ascii="Arial" w:cs="Arial" w:eastAsia="Arial" w:hAnsi="Arial"/>
          <w:sz w:val="22"/>
          <w:szCs w:val="22"/>
        </w:rPr>
        <w:t xml:space="preserve">The unit vector h(t)/||h(t)|| encodes which carriers dominate (positive components, above geometric mean) and which are suppressed (negative components, below geometric mean).</w:t>
      </w:r>
    </w:p>
    <w:p>
      <w:pPr>
        <w:spacing w:after="60" w:before="60"/>
      </w:pPr>
      <w:r>
        <w:rPr>
          <w:rFonts w:ascii="Arial" w:cs="Arial" w:eastAsia="Arial" w:hAnsi="Arial"/>
          <w:b/>
          <w:bCs/>
          <w:sz w:val="22"/>
          <w:szCs w:val="22"/>
        </w:rPr>
        <w:t xml:space="preserve">Independence. </w:t>
      </w:r>
      <w:r>
        <w:rPr>
          <w:rFonts w:ascii="Arial" w:cs="Arial" w:eastAsia="Arial" w:hAnsi="Arial"/>
          <w:sz w:val="22"/>
          <w:szCs w:val="22"/>
        </w:rPr>
        <w:t xml:space="preserve">Each h(t) is computed from x(t) alone. The Higgins Coordinate at index t carries no information from any other index.</w:t>
      </w:r>
    </w:p>
    <w:p>
      <w:pPr>
        <w:pStyle w:val="Heading2"/>
        <w:spacing w:after="120" w:before="200"/>
      </w:pPr>
      <w:r>
        <w:rPr>
          <w:rFonts w:ascii="Arial" w:cs="Arial" w:eastAsia="Arial" w:hAnsi="Arial"/>
          <w:b/>
          <w:bCs/>
          <w:sz w:val="26"/>
          <w:szCs w:val="26"/>
        </w:rPr>
        <w:t xml:space="preserve">2.4 CoDa Lineage</w:t>
      </w:r>
    </w:p>
    <w:p>
      <w:pPr>
        <w:spacing w:after="60" w:before="60"/>
      </w:pPr>
      <w:r>
        <w:rPr>
          <w:rFonts w:ascii="Arial" w:cs="Arial" w:eastAsia="Arial" w:hAnsi="Arial"/>
          <w:sz w:val="22"/>
          <w:szCs w:val="22"/>
        </w:rPr>
        <w:t xml:space="preserve">The CLR transform is the canonical embedding of the simplex into Euclidean space. It was introduced by John Aitchison in 1986 as the centred log-ratio transformation. It is:</w:t>
      </w:r>
    </w:p>
    <w:p>
      <w:pPr>
        <w:spacing w:after="60" w:before="60"/>
      </w:pPr>
      <w:r>
        <w:rPr>
          <w:rFonts w:ascii="Arial" w:cs="Arial" w:eastAsia="Arial" w:hAnsi="Arial"/>
          <w:b/>
          <w:bCs/>
          <w:sz w:val="22"/>
          <w:szCs w:val="22"/>
        </w:rPr>
        <w:t xml:space="preserve">An isometry </w:t>
      </w:r>
      <w:r>
        <w:rPr>
          <w:rFonts w:ascii="Arial" w:cs="Arial" w:eastAsia="Arial" w:hAnsi="Arial"/>
          <w:sz w:val="22"/>
          <w:szCs w:val="22"/>
        </w:rPr>
        <w:t xml:space="preserve">— it preserves Aitchison distances: d_A(x, y) = ||CLR(x) − CLR(y)||.</w:t>
      </w:r>
    </w:p>
    <w:p>
      <w:pPr>
        <w:spacing w:after="60" w:before="60"/>
      </w:pPr>
      <w:r>
        <w:rPr>
          <w:rFonts w:ascii="Arial" w:cs="Arial" w:eastAsia="Arial" w:hAnsi="Arial"/>
          <w:b/>
          <w:bCs/>
          <w:sz w:val="22"/>
          <w:szCs w:val="22"/>
        </w:rPr>
        <w:t xml:space="preserve">Invertible </w:t>
      </w:r>
      <w:r>
        <w:rPr>
          <w:rFonts w:ascii="Arial" w:cs="Arial" w:eastAsia="Arial" w:hAnsi="Arial"/>
          <w:sz w:val="22"/>
          <w:szCs w:val="22"/>
        </w:rPr>
        <w:t xml:space="preserve">— CLR to composition and back, losslessly, via x_j = exp(h_j) / Σ_k exp(h_k).</w:t>
      </w:r>
    </w:p>
    <w:p>
      <w:pPr>
        <w:spacing w:after="60" w:before="60"/>
      </w:pPr>
      <w:r>
        <w:rPr>
          <w:rFonts w:ascii="Arial" w:cs="Arial" w:eastAsia="Arial" w:hAnsi="Arial"/>
          <w:b/>
          <w:bCs/>
          <w:sz w:val="22"/>
          <w:szCs w:val="22"/>
        </w:rPr>
        <w:t xml:space="preserve">Scale invariant </w:t>
      </w:r>
      <w:r>
        <w:rPr>
          <w:rFonts w:ascii="Arial" w:cs="Arial" w:eastAsia="Arial" w:hAnsi="Arial"/>
          <w:sz w:val="22"/>
          <w:szCs w:val="22"/>
        </w:rPr>
        <w:t xml:space="preserve">— CLR(k·x) = CLR(x) for any positive scalar k.</w:t>
      </w:r>
    </w:p>
    <w:p>
      <w:pPr>
        <w:spacing w:after="60" w:before="60"/>
      </w:pPr>
      <w:r>
        <w:rPr>
          <w:rFonts w:ascii="Arial" w:cs="Arial" w:eastAsia="Arial" w:hAnsi="Arial"/>
          <w:b/>
          <w:bCs/>
          <w:sz w:val="22"/>
          <w:szCs w:val="22"/>
        </w:rPr>
        <w:t xml:space="preserve">Basis invariant at the trace </w:t>
      </w:r>
      <w:r>
        <w:rPr>
          <w:rFonts w:ascii="Arial" w:cs="Arial" w:eastAsia="Arial" w:hAnsi="Arial"/>
          <w:sz w:val="22"/>
          <w:szCs w:val="22"/>
        </w:rPr>
        <w:t xml:space="preserve">— Tr(Ψᵀ·Cov(CLR)·Ψ) = Tr(Cov(CLR)) where Ψ is the Helmert basis (orthonormal). CLR and ILR produce the same scalar diagnostics. ALR (additive log-ratio) breaks this invariance, inflating the trace by up to 3× and reversing HVLD shape classifications.</w:t>
      </w:r>
    </w:p>
    <w:p>
      <w:pPr>
        <w:spacing w:after="60" w:before="60"/>
      </w:pPr>
      <w:r>
        <w:rPr>
          <w:rFonts w:ascii="Arial" w:cs="Arial" w:eastAsia="Arial" w:hAnsi="Arial"/>
          <w:sz w:val="22"/>
          <w:szCs w:val="22"/>
        </w:rPr>
        <w:t xml:space="preserve">Every scalar diagnostic produced by the Hs instrument is basis-invariant under orthonormal coordinate change. This is proven algebraically and verified computationally to 10⁻¹⁵ machine precision across 9 test cells (3 bases × 3 pipeline steps).</w:t>
      </w:r>
    </w:p>
    <w:p>
      <w:r>
        <w:br w:type="page"/>
      </w:r>
    </w:p>
    <w:p>
      <w:pPr>
        <w:spacing w:after="200" w:before="600"/>
        <w:jc w:val="center"/>
      </w:pPr>
      <w:r>
        <w:rPr>
          <w:rFonts w:ascii="Arial" w:cs="Arial" w:eastAsia="Arial" w:hAnsi="Arial"/>
          <w:b/>
          <w:bCs/>
          <w:color w:val="1A1A2E"/>
          <w:sz w:val="36"/>
          <w:szCs w:val="36"/>
        </w:rPr>
        <w:t xml:space="preserve">Part II: The Direct Functions (Stage 1)</w:t>
      </w:r>
    </w:p>
    <w:p>
      <w:pPr>
        <w:spacing w:after="60" w:before="60"/>
      </w:pPr>
      <w:r>
        <w:rPr>
          <w:rFonts w:ascii="Arial" w:cs="Arial" w:eastAsia="Arial" w:hAnsi="Arial"/>
          <w:sz w:val="22"/>
          <w:szCs w:val="22"/>
        </w:rPr>
        <w:t xml:space="preserve">Stage 1 consists entirely of closed-form, point-by-point functions. No iteration, no pipeline, no engine. Each formula can be computed for a single composition without knowledge of any other observation. These are standard CoDa operations with complete mathematical lineage.</w:t>
      </w:r>
    </w:p>
    <w:p>
      <w:pPr>
        <w:pStyle w:val="Heading1"/>
        <w:spacing w:after="200" w:before="300"/>
      </w:pPr>
      <w:r>
        <w:rPr>
          <w:rFonts w:ascii="Arial" w:cs="Arial" w:eastAsia="Arial" w:hAnsi="Arial"/>
          <w:b/>
          <w:bCs/>
          <w:sz w:val="32"/>
          <w:szCs w:val="32"/>
        </w:rPr>
        <w:t xml:space="preserve">3. The Direct Computation</w:t>
      </w:r>
    </w:p>
    <w:p>
      <w:pPr>
        <w:pStyle w:val="Heading2"/>
        <w:spacing w:after="120" w:before="200"/>
      </w:pPr>
      <w:r>
        <w:rPr>
          <w:rFonts w:ascii="Arial" w:cs="Arial" w:eastAsia="Arial" w:hAnsi="Arial"/>
          <w:b/>
          <w:bCs/>
          <w:sz w:val="26"/>
          <w:szCs w:val="26"/>
        </w:rPr>
        <w:t xml:space="preserve">3.1 From Composition to Higgins Coordinate</w:t>
      </w:r>
    </w:p>
    <w:p>
      <w:pPr>
        <w:spacing w:after="60" w:before="60"/>
      </w:pPr>
      <w:r>
        <w:rPr>
          <w:rFonts w:ascii="Arial" w:cs="Arial" w:eastAsia="Arial" w:hAnsi="Arial"/>
          <w:sz w:val="22"/>
          <w:szCs w:val="22"/>
        </w:rPr>
        <w:t xml:space="preserve">Input: a composition x = (x_1, x_2, ..., x_D) where all x_j &gt; 0.</w:t>
      </w:r>
    </w:p>
    <w:p>
      <w:pPr>
        <w:spacing w:after="40" w:before="40"/>
        <w:ind w:left="720"/>
      </w:pPr>
      <w:r>
        <w:rPr>
          <w:rFonts w:ascii="Consolas" w:cs="Consolas" w:eastAsia="Consolas" w:hAnsi="Consolas"/>
          <w:color w:val="2E4057"/>
          <w:sz w:val="22"/>
          <w:szCs w:val="22"/>
        </w:rPr>
        <w:t xml:space="preserve">Step 1 (Closure):    x_jᶜ = x_j / Σ_k x_k</w:t>
      </w:r>
    </w:p>
    <w:p>
      <w:pPr>
        <w:spacing w:after="40" w:before="40"/>
        <w:ind w:left="720"/>
      </w:pPr>
      <w:r>
        <w:rPr>
          <w:rFonts w:ascii="Consolas" w:cs="Consolas" w:eastAsia="Consolas" w:hAnsi="Consolas"/>
          <w:color w:val="2E4057"/>
          <w:sz w:val="22"/>
          <w:szCs w:val="22"/>
        </w:rPr>
        <w:t xml:space="preserve">Step 2 (CLR):        h_j = ln(x_jᶜ) − (1/D)·Σ_k ln(x_kᶜ)</w:t>
      </w:r>
    </w:p>
    <w:p>
      <w:pPr>
        <w:spacing w:after="60" w:before="60"/>
      </w:pPr>
      <w:r>
        <w:rPr>
          <w:rFonts w:ascii="Arial" w:cs="Arial" w:eastAsia="Arial" w:hAnsi="Arial"/>
          <w:sz w:val="22"/>
          <w:szCs w:val="22"/>
        </w:rPr>
        <w:t xml:space="preserve">Output: h = (h_1, h_2, ..., h_D) with Σ h_j = 0. This is the Higgins Coordinate.</w:t>
      </w:r>
    </w:p>
    <w:p>
      <w:pPr>
        <w:spacing w:after="60" w:before="60"/>
      </w:pPr>
      <w:r>
        <w:rPr>
          <w:rFonts w:ascii="Arial" w:cs="Arial" w:eastAsia="Arial" w:hAnsi="Arial"/>
          <w:sz w:val="22"/>
          <w:szCs w:val="22"/>
        </w:rPr>
        <w:t xml:space="preserve">In code (any language):</w:t>
      </w:r>
    </w:p>
    <w:p>
      <w:pPr>
        <w:spacing w:after="40" w:before="40"/>
        <w:ind w:left="720"/>
      </w:pPr>
      <w:r>
        <w:rPr>
          <w:rFonts w:ascii="Consolas" w:cs="Consolas" w:eastAsia="Consolas" w:hAnsi="Consolas"/>
          <w:color w:val="2E4057"/>
          <w:sz w:val="22"/>
          <w:szCs w:val="22"/>
        </w:rPr>
        <w:t xml:space="preserve">h = log(x) - mean(log(x))</w:t>
      </w:r>
    </w:p>
    <w:p>
      <w:pPr>
        <w:spacing w:after="60" w:before="60"/>
      </w:pPr>
      <w:r>
        <w:rPr>
          <w:rFonts w:ascii="Arial" w:cs="Arial" w:eastAsia="Arial" w:hAnsi="Arial"/>
          <w:sz w:val="22"/>
          <w:szCs w:val="22"/>
        </w:rPr>
        <w:t xml:space="preserve">One line. No libraries required. Any CoDa researcher can reproduce this with a pocket calculator and a log table.</w:t>
      </w:r>
    </w:p>
    <w:p>
      <w:pPr>
        <w:pStyle w:val="Heading2"/>
        <w:spacing w:after="120" w:before="200"/>
      </w:pPr>
      <w:r>
        <w:rPr>
          <w:rFonts w:ascii="Arial" w:cs="Arial" w:eastAsia="Arial" w:hAnsi="Arial"/>
          <w:b/>
          <w:bCs/>
          <w:sz w:val="26"/>
          <w:szCs w:val="26"/>
        </w:rPr>
        <w:t xml:space="preserve">3.2 From Higgins Coordinate to Aitchison Norm</w:t>
      </w:r>
    </w:p>
    <w:p>
      <w:pPr>
        <w:spacing w:after="40" w:before="40"/>
        <w:ind w:left="720"/>
      </w:pPr>
      <w:r>
        <w:rPr>
          <w:rFonts w:ascii="Consolas" w:cs="Consolas" w:eastAsia="Consolas" w:hAnsi="Consolas"/>
          <w:color w:val="2E4057"/>
          <w:sz w:val="22"/>
          <w:szCs w:val="22"/>
        </w:rPr>
        <w:t xml:space="preserve">||h||_A = √(Σ_j h_j²)</w:t>
      </w:r>
    </w:p>
    <w:p>
      <w:pPr>
        <w:spacing w:after="60" w:before="60"/>
      </w:pPr>
      <w:r>
        <w:rPr>
          <w:rFonts w:ascii="Arial" w:cs="Arial" w:eastAsia="Arial" w:hAnsi="Arial"/>
          <w:sz w:val="22"/>
          <w:szCs w:val="22"/>
        </w:rPr>
        <w:t xml:space="preserve">Scalar distance from the barycentre. At uniform composition, ||h|| = 0.</w:t>
      </w:r>
    </w:p>
    <w:p>
      <w:pPr>
        <w:pStyle w:val="Heading2"/>
        <w:spacing w:after="120" w:before="200"/>
      </w:pPr>
      <w:r>
        <w:rPr>
          <w:rFonts w:ascii="Arial" w:cs="Arial" w:eastAsia="Arial" w:hAnsi="Arial"/>
          <w:b/>
          <w:bCs/>
          <w:sz w:val="26"/>
          <w:szCs w:val="26"/>
        </w:rPr>
        <w:t xml:space="preserve">3.3 From Polar Slice to Circularity Ratio</w:t>
      </w:r>
    </w:p>
    <w:p>
      <w:pPr>
        <w:spacing w:after="60" w:before="60"/>
      </w:pPr>
      <w:r>
        <w:rPr>
          <w:rFonts w:ascii="Arial" w:cs="Arial" w:eastAsia="Arial" w:hAnsi="Arial"/>
          <w:sz w:val="22"/>
          <w:szCs w:val="22"/>
        </w:rPr>
        <w:t xml:space="preserve">For the D-vertex polar slice at index t:</w:t>
      </w:r>
    </w:p>
    <w:p>
      <w:pPr>
        <w:spacing w:after="40" w:before="40"/>
        <w:ind w:left="720"/>
      </w:pPr>
      <w:r>
        <w:rPr>
          <w:rFonts w:ascii="Consolas" w:cs="Consolas" w:eastAsia="Consolas" w:hAnsi="Consolas"/>
          <w:color w:val="2E4057"/>
          <w:sz w:val="22"/>
          <w:szCs w:val="22"/>
        </w:rPr>
        <w:t xml:space="preserve">ρ = r_min / r_max</w:t>
      </w:r>
    </w:p>
    <w:p>
      <w:pPr>
        <w:spacing w:after="60" w:before="60"/>
      </w:pPr>
      <w:r>
        <w:rPr>
          <w:rFonts w:ascii="Arial" w:cs="Arial" w:eastAsia="Arial" w:hAnsi="Arial"/>
          <w:sz w:val="22"/>
          <w:szCs w:val="22"/>
        </w:rPr>
        <w:t xml:space="preserve">where r_min and r_max are the minimum and maximum absolute CLR values. This is the Cayley transform:</w:t>
      </w:r>
    </w:p>
    <w:p>
      <w:pPr>
        <w:spacing w:after="40" w:before="40"/>
        <w:ind w:left="720"/>
      </w:pPr>
      <w:r>
        <w:rPr>
          <w:rFonts w:ascii="Consolas" w:cs="Consolas" w:eastAsia="Consolas" w:hAnsi="Consolas"/>
          <w:color w:val="2E4057"/>
          <w:sz w:val="22"/>
          <w:szCs w:val="22"/>
        </w:rPr>
        <w:t xml:space="preserve">ρ = (1 − α·a) / (1 + α·a)</w:t>
      </w:r>
    </w:p>
    <w:p>
      <w:pPr>
        <w:spacing w:after="60" w:before="60"/>
      </w:pPr>
      <w:r>
        <w:rPr>
          <w:rFonts w:ascii="Arial" w:cs="Arial" w:eastAsia="Arial" w:hAnsi="Arial"/>
          <w:sz w:val="22"/>
          <w:szCs w:val="22"/>
        </w:rPr>
        <w:t xml:space="preserve">where a = (r_max − r_min)/(r_max + r_min) is the normalised asymmetry, and α = (1−f)/(1+f) is the projector parameter derived from the floor f.</w:t>
      </w:r>
    </w:p>
    <w:p>
      <w:pPr>
        <w:spacing w:after="60" w:before="60"/>
      </w:pPr>
      <w:r>
        <w:rPr>
          <w:rFonts w:ascii="Arial" w:cs="Arial" w:eastAsia="Arial" w:hAnsi="Arial"/>
          <w:sz w:val="22"/>
          <w:szCs w:val="22"/>
        </w:rPr>
        <w:t xml:space="preserve">Properties of the Cayley transform C(z) = (1−z)/(1+z):</w:t>
      </w:r>
    </w:p>
    <w:p>
      <w:pPr>
        <w:spacing w:after="60" w:before="60"/>
      </w:pPr>
      <w:r>
        <w:rPr>
          <w:rFonts w:ascii="Arial" w:cs="Arial" w:eastAsia="Arial" w:hAnsi="Arial"/>
          <w:b/>
          <w:bCs/>
          <w:sz w:val="22"/>
          <w:szCs w:val="22"/>
        </w:rPr>
        <w:t xml:space="preserve">Involution: </w:t>
      </w:r>
      <w:r>
        <w:rPr>
          <w:rFonts w:ascii="Arial" w:cs="Arial" w:eastAsia="Arial" w:hAnsi="Arial"/>
          <w:sz w:val="22"/>
          <w:szCs w:val="22"/>
        </w:rPr>
        <w:t xml:space="preserve">C(C(z)) = z — perfectly reversible.</w:t>
      </w:r>
    </w:p>
    <w:p>
      <w:pPr>
        <w:spacing w:after="60" w:before="60"/>
      </w:pPr>
      <w:r>
        <w:rPr>
          <w:rFonts w:ascii="Arial" w:cs="Arial" w:eastAsia="Arial" w:hAnsi="Arial"/>
          <w:b/>
          <w:bCs/>
          <w:sz w:val="22"/>
          <w:szCs w:val="22"/>
        </w:rPr>
        <w:t xml:space="preserve">Fixed point: </w:t>
      </w:r>
      <w:r>
        <w:rPr>
          <w:rFonts w:ascii="Arial" w:cs="Arial" w:eastAsia="Arial" w:hAnsi="Arial"/>
          <w:sz w:val="22"/>
          <w:szCs w:val="22"/>
        </w:rPr>
        <w:t xml:space="preserve">C(0) = 1 — zero asymmetry produces a circle.</w:t>
      </w:r>
    </w:p>
    <w:p>
      <w:pPr>
        <w:spacing w:after="60" w:before="60"/>
      </w:pPr>
      <w:r>
        <w:rPr>
          <w:rFonts w:ascii="Arial" w:cs="Arial" w:eastAsia="Arial" w:hAnsi="Arial"/>
          <w:b/>
          <w:bCs/>
          <w:sz w:val="22"/>
          <w:szCs w:val="22"/>
        </w:rPr>
        <w:t xml:space="preserve">Boundary: </w:t>
      </w:r>
      <w:r>
        <w:rPr>
          <w:rFonts w:ascii="Arial" w:cs="Arial" w:eastAsia="Arial" w:hAnsi="Arial"/>
          <w:sz w:val="22"/>
          <w:szCs w:val="22"/>
        </w:rPr>
        <w:t xml:space="preserve">C(1) = 0 — maximum asymmetry collapses to a line.</w:t>
      </w:r>
    </w:p>
    <w:p>
      <w:pPr>
        <w:spacing w:after="60" w:before="60"/>
      </w:pPr>
      <w:r>
        <w:rPr>
          <w:rFonts w:ascii="Arial" w:cs="Arial" w:eastAsia="Arial" w:hAnsi="Arial"/>
          <w:b/>
          <w:bCs/>
          <w:sz w:val="22"/>
          <w:szCs w:val="22"/>
        </w:rPr>
        <w:t xml:space="preserve">Exponential form: </w:t>
      </w:r>
      <w:r>
        <w:rPr>
          <w:rFonts w:ascii="Arial" w:cs="Arial" w:eastAsia="Arial" w:hAnsi="Arial"/>
          <w:sz w:val="22"/>
          <w:szCs w:val="22"/>
        </w:rPr>
        <w:t xml:space="preserve">C(z) = exp(−2·arctanh(z)).</w:t>
      </w:r>
    </w:p>
    <w:p>
      <w:pPr>
        <w:pStyle w:val="Heading2"/>
        <w:spacing w:after="120" w:before="200"/>
      </w:pPr>
      <w:r>
        <w:rPr>
          <w:rFonts w:ascii="Arial" w:cs="Arial" w:eastAsia="Arial" w:hAnsi="Arial"/>
          <w:b/>
          <w:bCs/>
          <w:sz w:val="26"/>
          <w:szCs w:val="26"/>
        </w:rPr>
        <w:t xml:space="preserve">3.4 From Circularity to Poincaré Disc</w:t>
      </w:r>
    </w:p>
    <w:p>
      <w:pPr>
        <w:spacing w:after="40" w:before="40"/>
        <w:ind w:left="720"/>
      </w:pPr>
      <w:r>
        <w:rPr>
          <w:rFonts w:ascii="Consolas" w:cs="Consolas" w:eastAsia="Consolas" w:hAnsi="Consolas"/>
          <w:color w:val="2E4057"/>
          <w:sz w:val="22"/>
          <w:szCs w:val="22"/>
        </w:rPr>
        <w:t xml:space="preserve">r_P = (1 − ρ) / (1 + ρ)        Poincaré radius</w:t>
      </w:r>
    </w:p>
    <w:p>
      <w:pPr>
        <w:spacing w:after="40" w:before="40"/>
        <w:ind w:left="720"/>
      </w:pPr>
      <w:r>
        <w:rPr>
          <w:rFonts w:ascii="Consolas" w:cs="Consolas" w:eastAsia="Consolas" w:hAnsi="Consolas"/>
          <w:color w:val="2E4057"/>
          <w:sz w:val="22"/>
          <w:szCs w:val="22"/>
        </w:rPr>
        <w:t xml:space="preserve">d_H = −ln(ρ) = 2·arctanh(α·a)   Hyperbolic distance</w:t>
      </w:r>
    </w:p>
    <w:p>
      <w:pPr>
        <w:spacing w:after="60" w:before="60"/>
      </w:pPr>
      <w:r>
        <w:rPr>
          <w:rFonts w:ascii="Arial" w:cs="Arial" w:eastAsia="Arial" w:hAnsi="Arial"/>
          <w:sz w:val="22"/>
          <w:szCs w:val="22"/>
        </w:rPr>
        <w:t xml:space="preserve">The Poincaré radius maps each composition to the open unit disc. The hyperbolic distance measures concentration in a geometry where concentrated compositions are exponentially harder to distinguish than diffuse ones.</w:t>
      </w:r>
    </w:p>
    <w:p>
      <w:pPr>
        <w:spacing w:after="60" w:before="60"/>
      </w:pPr>
      <w:r>
        <w:rPr>
          <w:rFonts w:ascii="Arial" w:cs="Arial" w:eastAsia="Arial" w:hAnsi="Arial"/>
          <w:sz w:val="22"/>
          <w:szCs w:val="22"/>
        </w:rPr>
        <w:t xml:space="preserve">This is the Busemann function in the Poincaré disc model: ln(ρ) = b₁(α·a) = −2·arctanh(α·a). The connection is genuine but bounded — it applies to the 1D circularity diagnostic, not to the full D-dimensional coordinate.</w:t>
      </w:r>
    </w:p>
    <w:p>
      <w:pPr>
        <w:pStyle w:val="Heading2"/>
        <w:spacing w:after="120" w:before="200"/>
      </w:pPr>
      <w:r>
        <w:rPr>
          <w:rFonts w:ascii="Arial" w:cs="Arial" w:eastAsia="Arial" w:hAnsi="Arial"/>
          <w:b/>
          <w:bCs/>
          <w:sz w:val="26"/>
          <w:szCs w:val="26"/>
        </w:rPr>
        <w:t xml:space="preserve">3.5 The Poincaré Metric Factor</w:t>
      </w:r>
    </w:p>
    <w:p>
      <w:pPr>
        <w:spacing w:after="40" w:before="40"/>
        <w:ind w:left="720"/>
      </w:pPr>
      <w:r>
        <w:rPr>
          <w:rFonts w:ascii="Consolas" w:cs="Consolas" w:eastAsia="Consolas" w:hAnsi="Consolas"/>
          <w:color w:val="2E4057"/>
          <w:sz w:val="22"/>
          <w:szCs w:val="22"/>
        </w:rPr>
        <w:t xml:space="preserve">Factor = (1 + ρ)² / (2ρ)</w:t>
      </w:r>
    </w:p>
    <w:p>
      <w:pPr>
        <w:spacing w:after="60" w:before="60"/>
      </w:pPr>
      <w:r>
        <w:rPr>
          <w:rFonts w:ascii="Arial" w:cs="Arial" w:eastAsia="Arial" w:hAnsi="Arial"/>
          <w:sz w:val="22"/>
          <w:szCs w:val="22"/>
        </w:rPr>
        <w:t xml:space="preserve">At ρ = 0.1 (high asymmetry): factor = 6.05 — the instrument is 6× more sensitive to changes in concentrated compositions. At ρ = 0.8 (near-uniform): factor = 2.02 — nearly Euclidean. The projector is inherently more resolving for structured data.</w:t>
      </w:r>
    </w:p>
    <w:p>
      <w:pPr>
        <w:pStyle w:val="Heading2"/>
        <w:spacing w:after="120" w:before="200"/>
      </w:pPr>
      <w:r>
        <w:rPr>
          <w:rFonts w:ascii="Arial" w:cs="Arial" w:eastAsia="Arial" w:hAnsi="Arial"/>
          <w:b/>
          <w:bCs/>
          <w:sz w:val="26"/>
          <w:szCs w:val="26"/>
        </w:rPr>
        <w:t xml:space="preserve">3.6 Cross-Ratio Invariance</w:t>
      </w:r>
    </w:p>
    <w:p>
      <w:pPr>
        <w:spacing w:after="60" w:before="60"/>
      </w:pPr>
      <w:r>
        <w:rPr>
          <w:rFonts w:ascii="Arial" w:cs="Arial" w:eastAsia="Arial" w:hAnsi="Arial"/>
          <w:sz w:val="22"/>
          <w:szCs w:val="22"/>
        </w:rPr>
        <w:t xml:space="preserve">For four compositions with circularity ratios ρ₁, ρ₂, ρ₃, ρ₄:</w:t>
      </w:r>
    </w:p>
    <w:p>
      <w:pPr>
        <w:spacing w:after="40" w:before="40"/>
        <w:ind w:left="720"/>
      </w:pPr>
      <w:r>
        <w:rPr>
          <w:rFonts w:ascii="Consolas" w:cs="Consolas" w:eastAsia="Consolas" w:hAnsi="Consolas"/>
          <w:color w:val="2E4057"/>
          <w:sz w:val="22"/>
          <w:szCs w:val="22"/>
        </w:rPr>
        <w:t xml:space="preserve">(ρ₁,ρ₂;ρ₃,ρ₄) = [(ρ₁−ρ₃)(ρ₂−ρ₄)] / [(ρ₁−ρ₄)(ρ₂−ρ₃)]</w:t>
      </w:r>
    </w:p>
    <w:p>
      <w:pPr>
        <w:spacing w:after="60" w:before="60"/>
      </w:pPr>
      <w:r>
        <w:rPr>
          <w:rFonts w:ascii="Arial" w:cs="Arial" w:eastAsia="Arial" w:hAnsi="Arial"/>
          <w:sz w:val="22"/>
          <w:szCs w:val="22"/>
        </w:rPr>
        <w:t xml:space="preserve">This cross-ratio is exactly preserved under any change of the projector floor parameter f. The relative asymmetry structure of any dataset is independent of the floor. Verified numerically: cross-ratio = 1.183592 at all tested floor values from f = 0.05 to f = 0.50.</w:t>
      </w:r>
    </w:p>
    <w:p>
      <w:pPr>
        <w:pStyle w:val="Heading2"/>
        <w:spacing w:after="120" w:before="200"/>
      </w:pPr>
      <w:r>
        <w:rPr>
          <w:rFonts w:ascii="Arial" w:cs="Arial" w:eastAsia="Arial" w:hAnsi="Arial"/>
          <w:b/>
          <w:bCs/>
          <w:sz w:val="26"/>
          <w:szCs w:val="26"/>
        </w:rPr>
        <w:t xml:space="preserve">3.7 Summary: What Stage 1 Computes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60"/>
        <w:gridCol w:w="250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Operation</w:t>
            </w:r>
          </w:p>
        </w:tc>
        <w:tc>
          <w:tcPr>
            <w:tcW w:type="dxa" w:w="36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Formula</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Needs Full Dataset?</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Higgins Coordinate h(t)</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ln(x) − mean(ln(x))</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No — single composition</w:t>
            </w:r>
          </w:p>
        </w:tc>
      </w:tr>
      <w:tr>
        <w:tc>
          <w:tcPr>
            <w:tcW w:type="dxa" w:w="3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Aitchison norm ||h||</w:t>
            </w:r>
          </w:p>
        </w:tc>
        <w:tc>
          <w:tcPr>
            <w:tcW w:type="dxa" w:w="36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√(Σ h_j²)</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No — single vector</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Circularity ratio ρ</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r_min / r_max</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No — single polar slice</w:t>
            </w:r>
          </w:p>
        </w:tc>
      </w:tr>
      <w:tr>
        <w:tc>
          <w:tcPr>
            <w:tcW w:type="dxa" w:w="3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Poincaré radius r_P</w:t>
            </w:r>
          </w:p>
        </w:tc>
        <w:tc>
          <w:tcPr>
            <w:tcW w:type="dxa" w:w="36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(1−ρ)/(1+ρ)</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No — single ρ</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Hyperbolic distance d_H</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−ln(ρ)</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No — single ρ</w:t>
            </w:r>
          </w:p>
        </w:tc>
      </w:tr>
      <w:tr>
        <w:tc>
          <w:tcPr>
            <w:tcW w:type="dxa" w:w="3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Metric factor</w:t>
            </w:r>
          </w:p>
        </w:tc>
        <w:tc>
          <w:tcPr>
            <w:tcW w:type="dxa" w:w="36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(1+ρ)²/(2ρ)</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No — single ρ</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Cross-ratio</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Möbius invariant of four ρ</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No — four ρ values</w:t>
            </w:r>
          </w:p>
        </w:tc>
      </w:tr>
      <w:tr>
        <w:tc>
          <w:tcPr>
            <w:tcW w:type="dxa" w:w="3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Cube face projections</w:t>
            </w:r>
          </w:p>
        </w:tc>
        <w:tc>
          <w:tcPr>
            <w:tcW w:type="dxa" w:w="36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Select axes, plot vectors</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No — individual h(t)</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Polar slice</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h_j on radial axes</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No — single h(t)</w:t>
            </w:r>
          </w:p>
        </w:tc>
      </w:tr>
    </w:tbl>
    <w:p>
      <w:pPr>
        <w:spacing w:after="40" w:before="40"/>
      </w:pPr>
      <w:r>
        <w:rPr>
          <w:rFonts w:ascii="Arial" w:cs="Arial" w:eastAsia="Arial" w:hAnsi="Arial"/>
          <w:i/>
          <w:iCs/>
          <w:color w:val="666666"/>
          <w:sz w:val="18"/>
          <w:szCs w:val="18"/>
        </w:rPr>
        <w:t xml:space="preserve">Every operation in Stage 1 is a direct, closed-form function. No pipeline, no iteration, no engine. The output of Stage 1 is a standard intermediate dataset that any CoDa researcher can independently reproduce and verify.</w:t>
      </w:r>
    </w:p>
    <w:p>
      <w:r>
        <w:br w:type="page"/>
      </w:r>
    </w:p>
    <w:p>
      <w:pPr>
        <w:spacing w:after="200" w:before="600"/>
        <w:jc w:val="center"/>
      </w:pPr>
      <w:r>
        <w:rPr>
          <w:rFonts w:ascii="Arial" w:cs="Arial" w:eastAsia="Arial" w:hAnsi="Arial"/>
          <w:b/>
          <w:bCs/>
          <w:color w:val="1A1A2E"/>
          <w:sz w:val="36"/>
          <w:szCs w:val="36"/>
        </w:rPr>
        <w:t xml:space="preserve">Part III: The Projection System</w:t>
      </w:r>
    </w:p>
    <w:p>
      <w:pPr>
        <w:pStyle w:val="Heading1"/>
        <w:spacing w:after="200" w:before="300"/>
      </w:pPr>
      <w:r>
        <w:rPr>
          <w:rFonts w:ascii="Arial" w:cs="Arial" w:eastAsia="Arial" w:hAnsi="Arial"/>
          <w:b/>
          <w:bCs/>
          <w:sz w:val="32"/>
          <w:szCs w:val="32"/>
        </w:rPr>
        <w:t xml:space="preserve">4. The Projection Cube</w:t>
      </w:r>
    </w:p>
    <w:p>
      <w:pPr>
        <w:pStyle w:val="Heading2"/>
        <w:spacing w:after="120" w:before="200"/>
      </w:pPr>
      <w:r>
        <w:rPr>
          <w:rFonts w:ascii="Arial" w:cs="Arial" w:eastAsia="Arial" w:hAnsi="Arial"/>
          <w:b/>
          <w:bCs/>
          <w:sz w:val="26"/>
          <w:szCs w:val="26"/>
        </w:rPr>
        <w:t xml:space="preserve">4.1 Axis Assignment</w:t>
      </w:r>
    </w:p>
    <w:p>
      <w:pPr>
        <w:spacing w:after="60" w:before="60"/>
      </w:pPr>
      <w:r>
        <w:rPr>
          <w:rFonts w:ascii="Arial" w:cs="Arial" w:eastAsia="Arial" w:hAnsi="Arial"/>
          <w:sz w:val="22"/>
          <w:szCs w:val="22"/>
        </w:rPr>
        <w:t xml:space="preserve">For a dataset with D carriers and N observations indexed by t, three axes define a rectangular coordinate system:</w:t>
      </w:r>
    </w:p>
    <w:p>
      <w:pPr>
        <w:spacing w:after="40" w:before="40"/>
        <w:ind w:left="720"/>
      </w:pPr>
      <w:r>
        <w:rPr>
          <w:rFonts w:ascii="Consolas" w:cs="Consolas" w:eastAsia="Consolas" w:hAnsi="Consolas"/>
          <w:color w:val="2E4057"/>
          <w:sz w:val="22"/>
          <w:szCs w:val="22"/>
        </w:rPr>
        <w:t xml:space="preserve">Axis X:  CLR dimension 1 — h₁(t)</w:t>
      </w:r>
    </w:p>
    <w:p>
      <w:pPr>
        <w:spacing w:after="40" w:before="40"/>
        <w:ind w:left="720"/>
      </w:pPr>
      <w:r>
        <w:rPr>
          <w:rFonts w:ascii="Consolas" w:cs="Consolas" w:eastAsia="Consolas" w:hAnsi="Consolas"/>
          <w:color w:val="2E4057"/>
          <w:sz w:val="22"/>
          <w:szCs w:val="22"/>
        </w:rPr>
        <w:t xml:space="preserve">Axis Y:  CLR dimension 2 — h₂(t)</w:t>
      </w:r>
    </w:p>
    <w:p>
      <w:pPr>
        <w:spacing w:after="40" w:before="40"/>
        <w:ind w:left="720"/>
      </w:pPr>
      <w:r>
        <w:rPr>
          <w:rFonts w:ascii="Consolas" w:cs="Consolas" w:eastAsia="Consolas" w:hAnsi="Consolas"/>
          <w:color w:val="2E4057"/>
          <w:sz w:val="22"/>
          <w:szCs w:val="22"/>
        </w:rPr>
        <w:t xml:space="preserve">Axis Z:  Observation index t</w:t>
      </w:r>
    </w:p>
    <w:p>
      <w:pPr>
        <w:pStyle w:val="Heading2"/>
        <w:spacing w:after="120" w:before="200"/>
      </w:pPr>
      <w:r>
        <w:rPr>
          <w:rFonts w:ascii="Arial" w:cs="Arial" w:eastAsia="Arial" w:hAnsi="Arial"/>
          <w:b/>
          <w:bCs/>
          <w:sz w:val="26"/>
          <w:szCs w:val="26"/>
        </w:rPr>
        <w:t xml:space="preserve">4.2 Three Face Projections</w:t>
      </w:r>
    </w:p>
    <w:p>
      <w:pPr>
        <w:spacing w:after="60" w:before="60"/>
      </w:pPr>
      <w:r>
        <w:rPr>
          <w:rFonts w:ascii="Arial" w:cs="Arial" w:eastAsia="Arial" w:hAnsi="Arial"/>
          <w:sz w:val="22"/>
          <w:szCs w:val="22"/>
        </w:rPr>
        <w:t xml:space="preserve">Looking at the cube from three orthogonal directions yields three mutually exclusive projections. Each shows the barycentre and position vectors radiating to data points. No lines connect consecutive points. No interpolation is performed.</w:t>
      </w:r>
    </w:p>
    <w:p>
      <w:pPr>
        <w:spacing w:after="40" w:before="40"/>
      </w:pPr>
    </w:p>
    <w:p>
      <w:pPr>
        <w:spacing w:after="60" w:before="60"/>
      </w:pPr>
      <w:r>
        <w:rPr>
          <w:rFonts w:ascii="Arial" w:cs="Arial" w:eastAsia="Arial" w:hAnsi="Arial"/>
          <w:b/>
          <w:bCs/>
          <w:sz w:val="22"/>
          <w:szCs w:val="22"/>
        </w:rPr>
        <w:t xml:space="preserve">Face XY — The Compositional Plane (Plan View). </w:t>
      </w:r>
      <w:r>
        <w:rPr>
          <w:rFonts w:ascii="Arial" w:cs="Arial" w:eastAsia="Arial" w:hAnsi="Arial"/>
          <w:sz w:val="22"/>
          <w:szCs w:val="22"/>
        </w:rPr>
        <w:t xml:space="preserve">Project onto (h₁, h₂), suppress t. Barycentre at origin (0,0). Each vector: line from (0,0) to (h₁(t), h₂(t)). Shows directional structure with time removed. The angle encodes which carriers dominate. Distance from origin encodes concentration.</w:t>
      </w:r>
    </w:p>
    <w:p>
      <w:pPr>
        <w:spacing w:after="60" w:before="60"/>
      </w:pPr>
      <w:r>
        <w:rPr>
          <w:rFonts w:ascii="Arial" w:cs="Arial" w:eastAsia="Arial" w:hAnsi="Arial"/>
          <w:b/>
          <w:bCs/>
          <w:sz w:val="22"/>
          <w:szCs w:val="22"/>
        </w:rPr>
        <w:t xml:space="preserve">Face XZ — Front Elevation. </w:t>
      </w:r>
      <w:r>
        <w:rPr>
          <w:rFonts w:ascii="Arial" w:cs="Arial" w:eastAsia="Arial" w:hAnsi="Arial"/>
          <w:sz w:val="22"/>
          <w:szCs w:val="22"/>
        </w:rPr>
        <w:t xml:space="preserve">Project onto (t, h₁), suppress h₂. Barycentre axis: the horizontal line h₁ = 0. Each vector: vertical line from (t, 0) to (t, h₁(t)). Shows how CLR dimension 1 evolves relative to the barycentre across the observation window.</w:t>
      </w:r>
    </w:p>
    <w:p>
      <w:pPr>
        <w:spacing w:after="60" w:before="60"/>
      </w:pPr>
      <w:r>
        <w:rPr>
          <w:rFonts w:ascii="Arial" w:cs="Arial" w:eastAsia="Arial" w:hAnsi="Arial"/>
          <w:b/>
          <w:bCs/>
          <w:sz w:val="22"/>
          <w:szCs w:val="22"/>
        </w:rPr>
        <w:t xml:space="preserve">Face YZ — Side Elevation. </w:t>
      </w:r>
      <w:r>
        <w:rPr>
          <w:rFonts w:ascii="Arial" w:cs="Arial" w:eastAsia="Arial" w:hAnsi="Arial"/>
          <w:sz w:val="22"/>
          <w:szCs w:val="22"/>
        </w:rPr>
        <w:t xml:space="preserve">Project onto (t, h₂), suppress h₁. Barycentre axis: the horizontal line h₂ = 0. Each vector: vertical line from (t, 0) to (t, h₂(t)). Same structure for CLR dimension 2.</w:t>
      </w:r>
    </w:p>
    <w:p>
      <w:pPr>
        <w:spacing w:after="40" w:before="40"/>
      </w:pPr>
    </w:p>
    <w:p>
      <w:pPr>
        <w:spacing w:after="60" w:before="60"/>
      </w:pPr>
      <w:r>
        <w:rPr>
          <w:rFonts w:ascii="Arial" w:cs="Arial" w:eastAsia="Arial" w:hAnsi="Arial"/>
          <w:sz w:val="22"/>
          <w:szCs w:val="22"/>
        </w:rPr>
        <w:t xml:space="preserve">For D &gt; 3 carriers, additional cube projections are formed by selecting different pairs (h_i, h_j) for the XY plane. The number of distinct compositional planes is C(D−1, 2) = (D−1)(D−2)/2.</w:t>
      </w:r>
    </w:p>
    <w:p>
      <w:pPr>
        <w:pStyle w:val="Heading2"/>
        <w:spacing w:after="120" w:before="200"/>
      </w:pPr>
      <w:r>
        <w:rPr>
          <w:rFonts w:ascii="Arial" w:cs="Arial" w:eastAsia="Arial" w:hAnsi="Arial"/>
          <w:b/>
          <w:bCs/>
          <w:sz w:val="26"/>
          <w:szCs w:val="26"/>
        </w:rPr>
        <w:t xml:space="preserve">4.3 What Is Not Drawn</w:t>
      </w:r>
    </w:p>
    <w:p>
      <w:pPr>
        <w:spacing w:after="60" w:before="60"/>
      </w:pPr>
      <w:r>
        <w:rPr>
          <w:rFonts w:ascii="Arial" w:cs="Arial" w:eastAsia="Arial" w:hAnsi="Arial"/>
          <w:sz w:val="22"/>
          <w:szCs w:val="22"/>
        </w:rPr>
        <w:t xml:space="preserve">No lines connect h(t) to h(t+1). The instrument does not know what happened between measurements. No splines are fitted. No interpolation is performed. The positions are discrete. The word “trajectory” is retired — a trajectory implies continuous motion along a path. The Higgins Coordinate is a discrete sequence of independent position vectors.</w:t>
      </w:r>
    </w:p>
    <w:p>
      <w:pPr>
        <w:pStyle w:val="Heading1"/>
        <w:spacing w:after="200" w:before="300"/>
      </w:pPr>
      <w:r>
        <w:rPr>
          <w:rFonts w:ascii="Arial" w:cs="Arial" w:eastAsia="Arial" w:hAnsi="Arial"/>
          <w:b/>
          <w:bCs/>
          <w:sz w:val="32"/>
          <w:szCs w:val="32"/>
        </w:rPr>
        <w:t xml:space="preserve">5. The Polar Slice</w:t>
      </w:r>
    </w:p>
    <w:p>
      <w:pPr>
        <w:pStyle w:val="Heading2"/>
        <w:spacing w:after="120" w:before="200"/>
      </w:pPr>
      <w:r>
        <w:rPr>
          <w:rFonts w:ascii="Arial" w:cs="Arial" w:eastAsia="Arial" w:hAnsi="Arial"/>
          <w:b/>
          <w:bCs/>
          <w:sz w:val="26"/>
          <w:szCs w:val="26"/>
        </w:rPr>
        <w:t xml:space="preserve">5.1 Definition</w:t>
      </w:r>
    </w:p>
    <w:p>
      <w:pPr>
        <w:spacing w:after="60" w:before="60"/>
      </w:pPr>
      <w:r>
        <w:rPr>
          <w:rFonts w:ascii="Arial" w:cs="Arial" w:eastAsia="Arial" w:hAnsi="Arial"/>
          <w:sz w:val="22"/>
          <w:szCs w:val="22"/>
        </w:rPr>
        <w:t xml:space="preserve">At each observation index t, the full D-dimensional Higgins Coordinate h(t) is rendered as a polar diagram with D radial axes at angles θ_j = 2π(j−1)/D. Each carrier gets its own axis. The radial distance is |h_j(t)| normalised by the global maximum. The sign is encoded by colour: green (above geometric mean, positive CLR) and red (below geometric mean, negative CLR). The barycentre is the centre of the grid.</w:t>
      </w:r>
    </w:p>
    <w:p>
      <w:pPr>
        <w:spacing w:after="60" w:before="60"/>
      </w:pPr>
      <w:r>
        <w:rPr>
          <w:rFonts w:ascii="Arial" w:cs="Arial" w:eastAsia="Arial" w:hAnsi="Arial"/>
          <w:sz w:val="22"/>
          <w:szCs w:val="22"/>
        </w:rPr>
        <w:t xml:space="preserve">This is the full-dimensional Higgins Coordinate rendered in carrier space, with no dimensional reduction. Every carrier is visible. Every deviation from the geometric mean is measured.</w:t>
      </w:r>
    </w:p>
    <w:p>
      <w:pPr>
        <w:pStyle w:val="Heading2"/>
        <w:spacing w:after="120" w:before="200"/>
      </w:pPr>
      <w:r>
        <w:rPr>
          <w:rFonts w:ascii="Arial" w:cs="Arial" w:eastAsia="Arial" w:hAnsi="Arial"/>
          <w:b/>
          <w:bCs/>
          <w:sz w:val="26"/>
          <w:szCs w:val="26"/>
        </w:rPr>
        <w:t xml:space="preserve">5.2 The Composite Overlay (Ghost Stack)</w:t>
      </w:r>
    </w:p>
    <w:p>
      <w:pPr>
        <w:spacing w:after="60" w:before="60"/>
      </w:pPr>
      <w:r>
        <w:rPr>
          <w:rFonts w:ascii="Arial" w:cs="Arial" w:eastAsia="Arial" w:hAnsi="Arial"/>
          <w:sz w:val="22"/>
          <w:szCs w:val="22"/>
        </w:rPr>
        <w:t xml:space="preserve">Overlaying all N polar slices on a single plot with alpha-blended transparency reveals which carriers are stable (overlapping vertices) versus which shift across the observation window (spread vertices). This is a visual summary of the barycentric vector sequence without any connecting lines.</w:t>
      </w:r>
    </w:p>
    <w:p>
      <w:pPr>
        <w:pStyle w:val="Heading1"/>
        <w:spacing w:after="200" w:before="300"/>
      </w:pPr>
      <w:r>
        <w:rPr>
          <w:rFonts w:ascii="Arial" w:cs="Arial" w:eastAsia="Arial" w:hAnsi="Arial"/>
          <w:b/>
          <w:bCs/>
          <w:sz w:val="32"/>
          <w:szCs w:val="32"/>
        </w:rPr>
        <w:t xml:space="preserve">6. Why the Sphere Becomes a Sausage</w:t>
      </w:r>
    </w:p>
    <w:p>
      <w:pPr>
        <w:spacing w:after="60" w:before="60"/>
      </w:pPr>
      <w:r>
        <w:rPr>
          <w:rFonts w:ascii="Arial" w:cs="Arial" w:eastAsia="Arial" w:hAnsi="Arial"/>
          <w:sz w:val="22"/>
          <w:szCs w:val="22"/>
        </w:rPr>
        <w:t xml:space="preserve">When a sphere-shaped composition enters the projection system, it does not appear spherical in Higgins space. It appears as a curved, elongated shape. This is not a distortion — it is the correct rendering of compositional structure.</w:t>
      </w:r>
    </w:p>
    <w:p>
      <w:pPr>
        <w:spacing w:after="60" w:before="60"/>
      </w:pPr>
      <w:r>
        <w:rPr>
          <w:rFonts w:ascii="Arial" w:cs="Arial" w:eastAsia="Arial" w:hAnsi="Arial"/>
          <w:sz w:val="22"/>
          <w:szCs w:val="22"/>
        </w:rPr>
        <w:t xml:space="preserve">The chain between the generating parameter and the Higgins Coordinate is:</w:t>
      </w:r>
    </w:p>
    <w:p>
      <w:pPr>
        <w:spacing w:after="40" w:before="40"/>
        <w:ind w:left="720"/>
      </w:pPr>
      <w:r>
        <w:rPr>
          <w:rFonts w:ascii="Consolas" w:cs="Consolas" w:eastAsia="Consolas" w:hAnsi="Consolas"/>
          <w:color w:val="2E4057"/>
          <w:sz w:val="22"/>
          <w:szCs w:val="22"/>
        </w:rPr>
        <w:t xml:space="preserve">parameter → exp → normalise → ln → CLR</w:t>
      </w:r>
    </w:p>
    <w:p>
      <w:pPr>
        <w:spacing w:after="60" w:before="60"/>
      </w:pPr>
      <w:r>
        <w:rPr>
          <w:rFonts w:ascii="Arial" w:cs="Arial" w:eastAsia="Arial" w:hAnsi="Arial"/>
          <w:sz w:val="22"/>
          <w:szCs w:val="22"/>
        </w:rPr>
        <w:t xml:space="preserve">If the generating function produces proportions x_j = (1 + A·cos(θ_j)) / Σ, then the Higgins Coordinate involves ln(1 + A·cos(θ_j)) which is nonlinear:</w:t>
      </w:r>
    </w:p>
    <w:p>
      <w:pPr>
        <w:spacing w:after="40" w:before="40"/>
        <w:ind w:left="720"/>
      </w:pPr>
      <w:r>
        <w:rPr>
          <w:rFonts w:ascii="Consolas" w:cs="Consolas" w:eastAsia="Consolas" w:hAnsi="Consolas"/>
          <w:color w:val="2E4057"/>
          <w:sz w:val="22"/>
          <w:szCs w:val="22"/>
        </w:rPr>
        <w:t xml:space="preserve">At +A:  ln(1 + 0.8) = ln(1.8) = +0.588</w:t>
      </w:r>
    </w:p>
    <w:p>
      <w:pPr>
        <w:spacing w:after="40" w:before="40"/>
        <w:ind w:left="720"/>
      </w:pPr>
      <w:r>
        <w:rPr>
          <w:rFonts w:ascii="Consolas" w:cs="Consolas" w:eastAsia="Consolas" w:hAnsi="Consolas"/>
          <w:color w:val="2E4057"/>
          <w:sz w:val="22"/>
          <w:szCs w:val="22"/>
        </w:rPr>
        <w:t xml:space="preserve">At −A:  ln(1 − 0.8) = ln(0.2) = −1.609</w:t>
      </w:r>
    </w:p>
    <w:p>
      <w:pPr>
        <w:spacing w:after="60" w:before="60"/>
      </w:pPr>
      <w:r>
        <w:rPr>
          <w:rFonts w:ascii="Arial" w:cs="Arial" w:eastAsia="Arial" w:hAnsi="Arial"/>
          <w:sz w:val="22"/>
          <w:szCs w:val="22"/>
        </w:rPr>
        <w:t xml:space="preserve">The positive side compresses. The negative side stretches. A symmetric input produces a 2.74× asymmetric output. The sausage is this asymmetry rendered in 3D — the poles stretch further from the barycentre than the equator compresses toward it.</w:t>
      </w:r>
    </w:p>
    <w:p>
      <w:pPr>
        <w:spacing w:after="60" w:before="60"/>
      </w:pPr>
      <w:r>
        <w:rPr>
          <w:rFonts w:ascii="Arial" w:cs="Arial" w:eastAsia="Arial" w:hAnsi="Arial"/>
          <w:sz w:val="22"/>
          <w:szCs w:val="22"/>
        </w:rPr>
        <w:t xml:space="preserve">The Poincaré metric factor quantifies this: at ρ = 0.1, the instrument is 6× more sensitive than at ρ = 0.8. The curvature of the sausage IS the non-uniform sensitivity of compositional space. Higgins space faithfully renders this rather than hiding it.</w:t>
      </w:r>
    </w:p>
    <w:p>
      <w:pPr>
        <w:spacing w:after="60" w:before="60"/>
      </w:pPr>
      <w:r>
        <w:rPr>
          <w:rFonts w:ascii="Arial" w:cs="Arial" w:eastAsia="Arial" w:hAnsi="Arial"/>
          <w:b/>
          <w:bCs/>
          <w:sz w:val="22"/>
          <w:szCs w:val="22"/>
        </w:rPr>
        <w:t xml:space="preserve">The sphere goes in. The compositional truth comes out. </w:t>
      </w:r>
      <w:r>
        <w:rPr>
          <w:rFonts w:ascii="Arial" w:cs="Arial" w:eastAsia="Arial" w:hAnsi="Arial"/>
          <w:sz w:val="22"/>
          <w:szCs w:val="22"/>
        </w:rPr>
        <w:t xml:space="preserve">They are different shapes because they are different spaces.</w:t>
      </w:r>
    </w:p>
    <w:p>
      <w:pPr>
        <w:spacing w:after="40" w:before="40"/>
      </w:pPr>
    </w:p>
    <w:p>
      <w:pPr>
        <w:spacing w:after="200" w:before="600"/>
        <w:jc w:val="center"/>
      </w:pPr>
      <w:r>
        <w:rPr>
          <w:rFonts w:ascii="Arial" w:cs="Arial" w:eastAsia="Arial" w:hAnsi="Arial"/>
          <w:b/>
          <w:bCs/>
          <w:color w:val="1A1A2E"/>
          <w:sz w:val="36"/>
          <w:szCs w:val="36"/>
        </w:rPr>
        <w:t xml:space="preserve">Part IV: The Advanced Analysis (Stage 2)</w:t>
      </w:r>
    </w:p>
    <w:p>
      <w:pPr>
        <w:spacing w:after="60" w:before="60"/>
      </w:pPr>
      <w:r>
        <w:rPr>
          <w:rFonts w:ascii="Arial" w:cs="Arial" w:eastAsia="Arial" w:hAnsi="Arial"/>
          <w:sz w:val="22"/>
          <w:szCs w:val="22"/>
        </w:rPr>
        <w:t xml:space="preserve">Stage 2 operates on the output of Stage 1 — pre-computed Higgins Coordinates and their derived scalars. It requires the full dataset because it computes statistical properties of the collection, not of individual compositions. The engine accepts Stage 1 output as input and produces the complete diagnostic reading.</w:t>
      </w:r>
    </w:p>
    <w:p>
      <w:pPr>
        <w:pStyle w:val="Heading1"/>
        <w:spacing w:after="200" w:before="300"/>
      </w:pPr>
      <w:r>
        <w:rPr>
          <w:rFonts w:ascii="Arial" w:cs="Arial" w:eastAsia="Arial" w:hAnsi="Arial"/>
          <w:b/>
          <w:bCs/>
          <w:sz w:val="32"/>
          <w:szCs w:val="32"/>
        </w:rPr>
        <w:t xml:space="preserve">7. The Tensor Functor</w:t>
      </w:r>
    </w:p>
    <w:p>
      <w:pPr>
        <w:pStyle w:val="Heading2"/>
        <w:spacing w:after="120" w:before="200"/>
      </w:pPr>
      <w:r>
        <w:rPr>
          <w:rFonts w:ascii="Arial" w:cs="Arial" w:eastAsia="Arial" w:hAnsi="Arial"/>
          <w:b/>
          <w:bCs/>
          <w:sz w:val="26"/>
          <w:szCs w:val="26"/>
        </w:rPr>
        <w:t xml:space="preserve">7.1 The Complete Function Chain</w:t>
      </w:r>
    </w:p>
    <w:p>
      <w:pPr>
        <w:spacing w:after="40" w:before="40"/>
        <w:ind w:left="720"/>
      </w:pPr>
      <w:r>
        <w:rPr>
          <w:rFonts w:ascii="Consolas" w:cs="Consolas" w:eastAsia="Consolas" w:hAnsi="Consolas"/>
          <w:color w:val="2E4057"/>
          <w:sz w:val="22"/>
          <w:szCs w:val="22"/>
        </w:rPr>
        <w:t xml:space="preserve">Hs(X) = ρ ∘ Tr ∘ Σ ∘ Λ ∘ S(X)</w:t>
      </w:r>
    </w:p>
    <w:p>
      <w:pPr>
        <w:spacing w:after="60" w:before="60"/>
      </w:pPr>
      <w:r>
        <w:rPr>
          <w:rFonts w:ascii="Arial" w:cs="Arial" w:eastAsia="Arial" w:hAnsi="Arial"/>
          <w:sz w:val="22"/>
          <w:szCs w:val="22"/>
        </w:rPr>
        <w:t xml:space="preserve">Five named layers, each with explicit tensor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660"/>
        <w:gridCol w:w="2700"/>
      </w:tblGrid>
      <w:tr>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Layer</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Name</w:t>
            </w:r>
          </w:p>
        </w:tc>
        <w:tc>
          <w:tcPr>
            <w:tcW w:type="dxa" w:w="36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Operation</w:t>
            </w:r>
          </w:p>
        </w:tc>
        <w:tc>
          <w:tcPr>
            <w:tcW w:type="dxa" w:w="2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Rank</w:t>
            </w:r>
          </w:p>
        </w:tc>
      </w:tr>
      <w:tr>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Closure</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x_ij / Σ_k x_ik</w:t>
            </w:r>
          </w:p>
        </w:tc>
        <w:tc>
          <w:tcPr>
            <w:tcW w:type="dxa" w:w="2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(1,1)→(1,1)</w:t>
            </w:r>
          </w:p>
        </w:tc>
      </w:tr>
      <w:tr>
        <w:tc>
          <w:tcPr>
            <w:tcW w:type="dxa" w:w="1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Λ</w:t>
            </w:r>
          </w:p>
        </w:tc>
        <w:tc>
          <w:tcPr>
            <w:tcW w:type="dxa" w:w="2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CLR Transform</w:t>
            </w:r>
          </w:p>
        </w:tc>
        <w:tc>
          <w:tcPr>
            <w:tcW w:type="dxa" w:w="36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ln(p) − mean(ln(p))</w:t>
            </w:r>
          </w:p>
        </w:tc>
        <w:tc>
          <w:tcPr>
            <w:tcW w:type="dxa" w:w="27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(1,1)→(1,1)</w:t>
            </w:r>
          </w:p>
        </w:tc>
      </w:tr>
      <w:tr>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Σ</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Covariance</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Cov(h) = V</w:t>
            </w:r>
          </w:p>
        </w:tc>
        <w:tc>
          <w:tcPr>
            <w:tcW w:type="dxa" w:w="2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(1,1)→(0,2)</w:t>
            </w:r>
          </w:p>
        </w:tc>
      </w:tr>
      <w:tr>
        <w:tc>
          <w:tcPr>
            <w:tcW w:type="dxa" w:w="1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Tr</w:t>
            </w:r>
          </w:p>
        </w:tc>
        <w:tc>
          <w:tcPr>
            <w:tcW w:type="dxa" w:w="2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Trace (Balun)</w:t>
            </w:r>
          </w:p>
        </w:tc>
        <w:tc>
          <w:tcPr>
            <w:tcW w:type="dxa" w:w="36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Σ_i V_ii = Σ_i λ_i</w:t>
            </w:r>
          </w:p>
        </w:tc>
        <w:tc>
          <w:tcPr>
            <w:tcW w:type="dxa" w:w="27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(0,2)→(0,0)</w:t>
            </w:r>
          </w:p>
        </w:tc>
      </w:tr>
      <w:tr>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ρ</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Classification</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Match against constants</w:t>
            </w:r>
          </w:p>
        </w:tc>
        <w:tc>
          <w:tcPr>
            <w:tcW w:type="dxa" w:w="2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(0,0)→label</w:t>
            </w:r>
          </w:p>
        </w:tc>
      </w:tr>
    </w:tbl>
    <w:p>
      <w:pPr>
        <w:spacing w:after="60" w:before="60"/>
      </w:pPr>
      <w:r>
        <w:rPr>
          <w:rFonts w:ascii="Arial" w:cs="Arial" w:eastAsia="Arial" w:hAnsi="Arial"/>
          <w:sz w:val="22"/>
          <w:szCs w:val="22"/>
        </w:rPr>
        <w:t xml:space="preserve">Layers S and Λ are Stage 1 (direct computation). Layers Σ, Tr, and ρ are Stage 2 (advanced analysis). The trace contraction Tr is the balun gate — the dimensional collapse from a D×D matrix to a scalar. CLR and ILR produce the same trace (basis invariance). ALR does not.</w:t>
      </w:r>
    </w:p>
    <w:p>
      <w:pPr>
        <w:pStyle w:val="Heading2"/>
        <w:spacing w:after="120" w:before="200"/>
      </w:pPr>
      <w:r>
        <w:rPr>
          <w:rFonts w:ascii="Arial" w:cs="Arial" w:eastAsia="Arial" w:hAnsi="Arial"/>
          <w:b/>
          <w:bCs/>
          <w:sz w:val="26"/>
          <w:szCs w:val="26"/>
        </w:rPr>
        <w:t xml:space="preserve">7.2 The Variation Matrix</w:t>
      </w:r>
    </w:p>
    <w:p>
      <w:pPr>
        <w:spacing w:after="40" w:before="40"/>
        <w:ind w:left="720"/>
      </w:pPr>
      <w:r>
        <w:rPr>
          <w:rFonts w:ascii="Consolas" w:cs="Consolas" w:eastAsia="Consolas" w:hAnsi="Consolas"/>
          <w:color w:val="2E4057"/>
          <w:sz w:val="22"/>
          <w:szCs w:val="22"/>
        </w:rPr>
        <w:t xml:space="preserve">V = (1/(N−1)) · Σ_t (h(t) − h̄)(h(t) − h̄)ᵀ</w:t>
      </w:r>
    </w:p>
    <w:p>
      <w:pPr>
        <w:spacing w:after="60" w:before="60"/>
      </w:pPr>
      <w:r>
        <w:rPr>
          <w:rFonts w:ascii="Arial" w:cs="Arial" w:eastAsia="Arial" w:hAnsi="Arial"/>
          <w:sz w:val="22"/>
          <w:szCs w:val="22"/>
        </w:rPr>
        <w:t xml:space="preserve">A (D×D) symmetric positive-definite matrix computed from the collection of Higgins Coordinates. Bessel’s correction (1/(N−1)) is used for unbiased estimation. Its eigenvalues λ₁ ≥ λ₂ ≥ … ≥ λ_D are the variance along each principal axis. Its trace is the total Aitchison variance:</w:t>
      </w:r>
    </w:p>
    <w:p>
      <w:pPr>
        <w:spacing w:after="40" w:before="40"/>
        <w:ind w:left="720"/>
      </w:pPr>
      <w:r>
        <w:rPr>
          <w:rFonts w:ascii="Consolas" w:cs="Consolas" w:eastAsia="Consolas" w:hAnsi="Consolas"/>
          <w:color w:val="2E4057"/>
          <w:sz w:val="22"/>
          <w:szCs w:val="22"/>
        </w:rPr>
        <w:t xml:space="preserve">σ²_A = Tr(V) = Σ_i λ_i</w:t>
      </w:r>
    </w:p>
    <w:p>
      <w:pPr>
        <w:pStyle w:val="Heading2"/>
        <w:spacing w:after="120" w:before="200"/>
      </w:pPr>
      <w:r>
        <w:rPr>
          <w:rFonts w:ascii="Arial" w:cs="Arial" w:eastAsia="Arial" w:hAnsi="Arial"/>
          <w:b/>
          <w:bCs/>
          <w:sz w:val="26"/>
          <w:szCs w:val="26"/>
        </w:rPr>
        <w:t xml:space="preserve">7.3 Eigenstructure Diagnostics</w:t>
      </w:r>
    </w:p>
    <w:p>
      <w:pPr>
        <w:spacing w:after="60" w:before="60"/>
      </w:pPr>
      <w:r>
        <w:rPr>
          <w:rFonts w:ascii="Arial" w:cs="Arial" w:eastAsia="Arial" w:hAnsi="Arial"/>
          <w:sz w:val="22"/>
          <w:szCs w:val="22"/>
        </w:rPr>
        <w:t xml:space="preserve">The eigenstructure of V carries information beyond the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Diagnostic</w:t>
            </w:r>
          </w:p>
        </w:tc>
        <w:tc>
          <w:tcPr>
            <w:tcW w:type="dxa" w:w="3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Formula</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Meaning</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Eigenvalue dominance</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λ₁/Tr(V)</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Fraction of variance in first principal axis</w:t>
            </w:r>
          </w:p>
        </w:tc>
      </w:tr>
      <w:tr>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Eigenvector stability</w:t>
            </w:r>
          </w:p>
        </w:tc>
        <w:tc>
          <w:tcPr>
            <w:tcW w:type="dxa" w:w="3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|&lt;v₁(first), v₁(last)&gt;|</w:t>
            </w:r>
          </w:p>
        </w:tc>
        <w:tc>
          <w:tcPr>
            <w:tcW w:type="dxa" w:w="3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Does principal direction rotate?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Condition number κ</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λ_max/λ_min</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Anisotropy of variation matrix</w:t>
            </w:r>
          </w:p>
        </w:tc>
      </w:tr>
      <w:tr>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Von Neumann entropy S_vN</w:t>
            </w:r>
          </w:p>
        </w:tc>
        <w:tc>
          <w:tcPr>
            <w:tcW w:type="dxa" w:w="3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−Σ(ρ_eig·ln(ρ_eig))</w:t>
            </w:r>
          </w:p>
        </w:tc>
        <w:tc>
          <w:tcPr>
            <w:tcW w:type="dxa" w:w="3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Eigenvalue uniformity</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Reflection coeff. Γ</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√(1 − λ₁/Tr(V))</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Impedance match measure</w:t>
            </w:r>
          </w:p>
        </w:tc>
      </w:tr>
      <w:tr>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VSWR</w:t>
            </w:r>
          </w:p>
        </w:tc>
        <w:tc>
          <w:tcPr>
            <w:tcW w:type="dxa" w:w="3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(1+Γ)/(1−Γ)</w:t>
            </w:r>
          </w:p>
        </w:tc>
        <w:tc>
          <w:tcPr>
            <w:tcW w:type="dxa" w:w="3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Standing wave ratio analogue</w:t>
            </w:r>
          </w:p>
        </w:tc>
      </w:tr>
    </w:tbl>
    <w:p>
      <w:r>
        <w:br w:type="page"/>
      </w:r>
    </w:p>
    <w:p>
      <w:pPr>
        <w:pStyle w:val="Heading1"/>
        <w:spacing w:after="200" w:before="300"/>
      </w:pPr>
      <w:r>
        <w:rPr>
          <w:rFonts w:ascii="Arial" w:cs="Arial" w:eastAsia="Arial" w:hAnsi="Arial"/>
          <w:b/>
          <w:bCs/>
          <w:sz w:val="32"/>
          <w:szCs w:val="32"/>
        </w:rPr>
        <w:t xml:space="preserve">8. The 12-Step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Step</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Operation</w:t>
            </w:r>
          </w:p>
        </w:tc>
        <w:tc>
          <w:tcPr>
            <w:tcW w:type="dxa" w:w="5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What It Computes</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1–3</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Configuration</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System name, carriers, raw data load</w:t>
            </w:r>
          </w:p>
        </w:tc>
      </w:tr>
      <w:tr>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4</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Closure (S)</w:t>
            </w:r>
          </w:p>
        </w:tc>
        <w:tc>
          <w:tcPr>
            <w:tcW w:type="dxa" w:w="59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Zero replacement (δ=10⁻⁶), closure to simplex</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CLR (Λ)</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Higgins Coordinates h(t) for all t</w:t>
            </w:r>
          </w:p>
        </w:tc>
      </w:tr>
      <w:tr>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6</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Variance (Σ, Tr)</w:t>
            </w:r>
          </w:p>
        </w:tc>
        <w:tc>
          <w:tcPr>
            <w:tcW w:type="dxa" w:w="59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Cumulative σ²_A(t), HVLD shape fit</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6.5</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Matrix Analysis</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V(t) eigenstructure, impedance metrics</w:t>
            </w:r>
          </w:p>
        </w:tc>
      </w:tr>
      <w:tr>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7</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HVLD</w:t>
            </w:r>
          </w:p>
        </w:tc>
        <w:tc>
          <w:tcPr>
            <w:tcW w:type="dxa" w:w="59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Quadratic fit: shape (bowl/hill), R², vertex</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8</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Super Squeeze</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Test σ²_A against 35 transcendental constants</w:t>
            </w:r>
          </w:p>
        </w:tc>
      </w:tr>
      <w:tr>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9</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EITT</w:t>
            </w:r>
          </w:p>
        </w:tc>
        <w:tc>
          <w:tcPr>
            <w:tcW w:type="dxa" w:w="59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Entropy invariance under geometric-mean decimation</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10</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Ternary</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Projection to 2D (barycentric for D=3)</w:t>
            </w:r>
          </w:p>
        </w:tc>
      </w:tr>
      <w:tr>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11</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Complex Plane</w:t>
            </w:r>
          </w:p>
        </w:tc>
        <w:tc>
          <w:tcPr>
            <w:tcW w:type="dxa" w:w="59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Centroid-relative polar coordinates</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12</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Report</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106 diagnostic codes, fingerprint, structured output</w:t>
            </w:r>
          </w:p>
        </w:tc>
      </w:tr>
    </w:tbl>
    <w:p>
      <w:pPr>
        <w:pStyle w:val="Heading2"/>
        <w:spacing w:after="120" w:before="200"/>
      </w:pPr>
      <w:r>
        <w:rPr>
          <w:rFonts w:ascii="Arial" w:cs="Arial" w:eastAsia="Arial" w:hAnsi="Arial"/>
          <w:b/>
          <w:bCs/>
          <w:sz w:val="26"/>
          <w:szCs w:val="26"/>
        </w:rPr>
        <w:t xml:space="preserve">8.1 The HVLD (Higgins Vertex Lock Diagnostic)</w:t>
      </w:r>
    </w:p>
    <w:p>
      <w:pPr>
        <w:spacing w:after="60" w:before="60"/>
      </w:pPr>
      <w:r>
        <w:rPr>
          <w:rFonts w:ascii="Arial" w:cs="Arial" w:eastAsia="Arial" w:hAnsi="Arial"/>
          <w:sz w:val="22"/>
          <w:szCs w:val="22"/>
        </w:rPr>
        <w:t xml:space="preserve">Quadratic fit to the cumulative variance sequence σ²_A(t):</w:t>
      </w:r>
    </w:p>
    <w:p>
      <w:pPr>
        <w:spacing w:after="40" w:before="40"/>
        <w:ind w:left="720"/>
      </w:pPr>
      <w:r>
        <w:rPr>
          <w:rFonts w:ascii="Consolas" w:cs="Consolas" w:eastAsia="Consolas" w:hAnsi="Consolas"/>
          <w:color w:val="2E4057"/>
          <w:sz w:val="22"/>
          <w:szCs w:val="22"/>
        </w:rPr>
        <w:t xml:space="preserve">y = a·t² + b·t + c</w:t>
      </w:r>
    </w:p>
    <w:p>
      <w:pPr>
        <w:spacing w:after="60" w:before="60"/>
      </w:pPr>
      <w:r>
        <w:rPr>
          <w:rFonts w:ascii="Arial" w:cs="Arial" w:eastAsia="Arial" w:hAnsi="Arial"/>
          <w:b/>
          <w:bCs/>
          <w:sz w:val="22"/>
          <w:szCs w:val="22"/>
        </w:rPr>
        <w:t xml:space="preserve">a &gt; 0: bowl </w:t>
      </w:r>
      <w:r>
        <w:rPr>
          <w:rFonts w:ascii="Arial" w:cs="Arial" w:eastAsia="Arial" w:hAnsi="Arial"/>
          <w:sz w:val="22"/>
          <w:szCs w:val="22"/>
        </w:rPr>
        <w:t xml:space="preserve">(information accelerating, variance convex).</w:t>
      </w:r>
    </w:p>
    <w:p>
      <w:pPr>
        <w:spacing w:after="60" w:before="60"/>
      </w:pPr>
      <w:r>
        <w:rPr>
          <w:rFonts w:ascii="Arial" w:cs="Arial" w:eastAsia="Arial" w:hAnsi="Arial"/>
          <w:b/>
          <w:bCs/>
          <w:sz w:val="22"/>
          <w:szCs w:val="22"/>
        </w:rPr>
        <w:t xml:space="preserve">a &lt; 0: hill </w:t>
      </w:r>
      <w:r>
        <w:rPr>
          <w:rFonts w:ascii="Arial" w:cs="Arial" w:eastAsia="Arial" w:hAnsi="Arial"/>
          <w:sz w:val="22"/>
          <w:szCs w:val="22"/>
        </w:rPr>
        <w:t xml:space="preserve">(information decelerating, variance concave).</w:t>
      </w:r>
    </w:p>
    <w:p>
      <w:pPr>
        <w:spacing w:after="60" w:before="60"/>
      </w:pPr>
      <w:r>
        <w:rPr>
          <w:rFonts w:ascii="Arial" w:cs="Arial" w:eastAsia="Arial" w:hAnsi="Arial"/>
          <w:sz w:val="22"/>
          <w:szCs w:val="22"/>
        </w:rPr>
        <w:t xml:space="preserve">The vertex (t_v, y_v) locates the turning point. R² measures goodness of fit. In 18 tested domains, R² ranges from 0.82 to 0.99.</w:t>
      </w:r>
    </w:p>
    <w:p>
      <w:pPr>
        <w:pStyle w:val="Heading2"/>
        <w:spacing w:after="120" w:before="200"/>
      </w:pPr>
      <w:r>
        <w:rPr>
          <w:rFonts w:ascii="Arial" w:cs="Arial" w:eastAsia="Arial" w:hAnsi="Arial"/>
          <w:b/>
          <w:bCs/>
          <w:sz w:val="26"/>
          <w:szCs w:val="26"/>
        </w:rPr>
        <w:t xml:space="preserve">8.2 The Super Squeeze</w:t>
      </w:r>
    </w:p>
    <w:p>
      <w:pPr>
        <w:spacing w:after="60" w:before="60"/>
      </w:pPr>
      <w:r>
        <w:rPr>
          <w:rFonts w:ascii="Arial" w:cs="Arial" w:eastAsia="Arial" w:hAnsi="Arial"/>
          <w:sz w:val="22"/>
          <w:szCs w:val="22"/>
        </w:rPr>
        <w:t xml:space="preserve">Test the variance value and its reciprocal against 35 transcendental constants. The constants include π, e, φ, √2, ln(2), Euler γ, Catalan, Apéry, Feigenbaum δ and α, Glaisher-Kinkelin, Dottie, and the Euler family (2π, eπ, πᵉ, and their reciprocals).</w:t>
      </w:r>
    </w:p>
    <w:p>
      <w:pPr>
        <w:spacing w:after="40" w:before="40"/>
        <w:ind w:left="720"/>
      </w:pPr>
      <w:r>
        <w:rPr>
          <w:rFonts w:ascii="Consolas" w:cs="Consolas" w:eastAsia="Consolas" w:hAnsi="Consolas"/>
          <w:color w:val="2E4057"/>
          <w:sz w:val="22"/>
          <w:szCs w:val="22"/>
        </w:rPr>
        <w:t xml:space="preserve">δ = |test_value − constant|</w:t>
      </w:r>
    </w:p>
    <w:p>
      <w:pPr>
        <w:spacing w:after="60" w:before="60"/>
      </w:pPr>
      <w:r>
        <w:rPr>
          <w:rFonts w:ascii="Arial" w:cs="Arial" w:eastAsia="Arial" w:hAnsi="Arial"/>
          <w:sz w:val="22"/>
          <w:szCs w:val="22"/>
        </w:rPr>
        <w:t xml:space="preserve">δ &lt; 0.01: NATURAL (variance locks to universal constant). 0.01 ≤ δ &lt; 0.05: INVESTIGATE. δ ≥ 0.05: FLAG.</w:t>
      </w:r>
    </w:p>
    <w:p>
      <w:pPr>
        <w:spacing w:after="60" w:before="60"/>
      </w:pPr>
      <w:r>
        <w:rPr>
          <w:rFonts w:ascii="Arial" w:cs="Arial" w:eastAsia="Arial" w:hAnsi="Arial"/>
          <w:sz w:val="22"/>
          <w:szCs w:val="22"/>
        </w:rPr>
        <w:t xml:space="preserve">The tightest match in the catalogue: nuclear binding energy (SEMF) locks to 1/(πᵉ) at δ = 5.87×10⁻⁶.</w:t>
      </w:r>
    </w:p>
    <w:p>
      <w:pPr>
        <w:pStyle w:val="Heading2"/>
        <w:spacing w:after="120" w:before="200"/>
      </w:pPr>
      <w:r>
        <w:rPr>
          <w:rFonts w:ascii="Arial" w:cs="Arial" w:eastAsia="Arial" w:hAnsi="Arial"/>
          <w:b/>
          <w:bCs/>
          <w:sz w:val="26"/>
          <w:szCs w:val="26"/>
        </w:rPr>
        <w:t xml:space="preserve">8.3 The EITT (Entropy Invariance Temporal Test)</w:t>
      </w:r>
    </w:p>
    <w:p>
      <w:pPr>
        <w:spacing w:after="60" w:before="60"/>
      </w:pPr>
      <w:r>
        <w:rPr>
          <w:rFonts w:ascii="Arial" w:cs="Arial" w:eastAsia="Arial" w:hAnsi="Arial"/>
          <w:sz w:val="22"/>
          <w:szCs w:val="22"/>
        </w:rPr>
        <w:t xml:space="preserve">Shannon entropy per observation H[i] = −Σ(p·ln(p)). Decimation test: reshape data into blocks of size M, compute geometric mean per block, re-close, recompute entropy. If |H_decimated − H_original| / H_original &lt; 5%, information is invariant under resolution change. If not, resolution is a hidden parameter violating the axiom.</w:t>
      </w:r>
    </w:p>
    <w:p>
      <w:pPr>
        <w:spacing w:after="60" w:before="60"/>
      </w:pPr>
      <w:r>
        <w:rPr>
          <w:rFonts w:ascii="Arial" w:cs="Arial" w:eastAsia="Arial" w:hAnsi="Arial"/>
          <w:sz w:val="22"/>
          <w:szCs w:val="22"/>
        </w:rPr>
        <w:t xml:space="preserve">Analytic bound (proved April 28, 2026):</w:t>
      </w:r>
    </w:p>
    <w:p>
      <w:pPr>
        <w:spacing w:after="40" w:before="40"/>
        <w:ind w:left="720"/>
      </w:pPr>
      <w:r>
        <w:rPr>
          <w:rFonts w:ascii="Consolas" w:cs="Consolas" w:eastAsia="Consolas" w:hAnsi="Consolas"/>
          <w:color w:val="2E4057"/>
          <w:sz w:val="22"/>
          <w:szCs w:val="22"/>
        </w:rPr>
        <w:t xml:space="preserve">|ΔH(M)| ≤ 0.5·λ_max(|H_H(μ)|)·Tr(Σ₁)·[1 − R(M,ρ)]</w:t>
      </w:r>
    </w:p>
    <w:p>
      <w:r>
        <w:br w:type="page"/>
      </w:r>
    </w:p>
    <w:p>
      <w:pPr>
        <w:pStyle w:val="Heading1"/>
        <w:spacing w:after="200" w:before="300"/>
      </w:pPr>
      <w:r>
        <w:rPr>
          <w:rFonts w:ascii="Arial" w:cs="Arial" w:eastAsia="Arial" w:hAnsi="Arial"/>
          <w:b/>
          <w:bCs/>
          <w:sz w:val="32"/>
          <w:szCs w:val="32"/>
        </w:rPr>
        <w:t xml:space="preserve">9. The Component Power Mapper</w:t>
      </w:r>
    </w:p>
    <w:p>
      <w:pPr>
        <w:spacing w:after="60" w:before="60"/>
      </w:pPr>
      <w:r>
        <w:rPr>
          <w:rFonts w:ascii="Arial" w:cs="Arial" w:eastAsia="Arial" w:hAnsi="Arial"/>
          <w:sz w:val="22"/>
          <w:szCs w:val="22"/>
        </w:rPr>
        <w:t xml:space="preserve">Standard CoDa tells you the variance per carrier. The power mapper tells you what happens to the entire instrument reading when you perturb each carrier. These are different questions.</w:t>
      </w:r>
    </w:p>
    <w:p>
      <w:pPr>
        <w:spacing w:after="60" w:before="60"/>
      </w:pPr>
      <w:r>
        <w:rPr>
          <w:rFonts w:ascii="Arial" w:cs="Arial" w:eastAsia="Arial" w:hAnsi="Arial"/>
          <w:b/>
          <w:bCs/>
          <w:sz w:val="22"/>
          <w:szCs w:val="22"/>
        </w:rPr>
        <w:t xml:space="preserve">Compositional Leverage Index (CLI): </w:t>
      </w:r>
      <w:r>
        <w:rPr>
          <w:rFonts w:ascii="Arial" w:cs="Arial" w:eastAsia="Arial" w:hAnsi="Arial"/>
          <w:sz w:val="22"/>
          <w:szCs w:val="22"/>
        </w:rPr>
        <w:t xml:space="preserve">Perturb each carrier by ε in both directions, re-close, re-run full pipeline, measure fingerprint distance vs perturbation size.</w:t>
      </w:r>
    </w:p>
    <w:p>
      <w:pPr>
        <w:spacing w:after="60" w:before="60"/>
      </w:pPr>
      <w:r>
        <w:rPr>
          <w:rFonts w:ascii="Arial" w:cs="Arial" w:eastAsia="Arial" w:hAnsi="Arial"/>
          <w:b/>
          <w:bCs/>
          <w:sz w:val="22"/>
          <w:szCs w:val="22"/>
        </w:rPr>
        <w:t xml:space="preserve">Phase Boundary Map (PBM): </w:t>
      </w:r>
      <w:r>
        <w:rPr>
          <w:rFonts w:ascii="Arial" w:cs="Arial" w:eastAsia="Arial" w:hAnsi="Arial"/>
          <w:sz w:val="22"/>
          <w:szCs w:val="22"/>
        </w:rPr>
        <w:t xml:space="preserve">Sweep each carrier from current value toward zero and toward dominance. Record where classification flips (NATURAL to FLAG, bowl to hill).</w:t>
      </w:r>
    </w:p>
    <w:p>
      <w:pPr>
        <w:spacing w:after="60" w:before="60"/>
      </w:pPr>
      <w:r>
        <w:rPr>
          <w:rFonts w:ascii="Arial" w:cs="Arial" w:eastAsia="Arial" w:hAnsi="Arial"/>
          <w:b/>
          <w:bCs/>
          <w:sz w:val="22"/>
          <w:szCs w:val="22"/>
        </w:rPr>
        <w:t xml:space="preserve">Component Power Score (CPS): </w:t>
      </w:r>
      <w:r>
        <w:rPr>
          <w:rFonts w:ascii="Arial" w:cs="Arial" w:eastAsia="Arial" w:hAnsi="Arial"/>
          <w:sz w:val="22"/>
          <w:szCs w:val="22"/>
        </w:rPr>
        <w:t xml:space="preserve">Weighted combination — leverage (0.35), criticality (0.30), transfer entropy (0.20), synergy (0.15). Power-to-mass ratio reveals disproportionate influence.</w:t>
      </w:r>
    </w:p>
    <w:p>
      <w:pPr>
        <w:spacing w:after="60" w:before="60"/>
      </w:pPr>
      <w:r>
        <w:rPr>
          <w:rFonts w:ascii="Arial" w:cs="Arial" w:eastAsia="Arial" w:hAnsi="Arial"/>
          <w:sz w:val="22"/>
          <w:szCs w:val="22"/>
        </w:rPr>
        <w:t xml:space="preserve">Key result: In bread composition, yeast (0.9% by mass) has a power-to-fraction ratio of 33.64×. Removing yeast flips the classification. The power mapper distinguishes component POWER from component FRACTION.</w:t>
      </w:r>
    </w:p>
    <w:p>
      <w:pPr>
        <w:pStyle w:val="Heading1"/>
        <w:spacing w:after="200" w:before="300"/>
      </w:pPr>
      <w:r>
        <w:rPr>
          <w:rFonts w:ascii="Arial" w:cs="Arial" w:eastAsia="Arial" w:hAnsi="Arial"/>
          <w:b/>
          <w:bCs/>
          <w:sz w:val="32"/>
          <w:szCs w:val="32"/>
        </w:rPr>
        <w:t xml:space="preserve">10. The Amalgamation Engine</w:t>
      </w:r>
    </w:p>
    <w:p>
      <w:pPr>
        <w:spacing w:after="60" w:before="60"/>
      </w:pPr>
      <w:r>
        <w:rPr>
          <w:rFonts w:ascii="Arial" w:cs="Arial" w:eastAsia="Arial" w:hAnsi="Arial"/>
          <w:sz w:val="22"/>
          <w:szCs w:val="22"/>
        </w:rPr>
        <w:t xml:space="preserve">For D carriers, generate all possible merges: combine carriers into groups, sum original values, re-close, re-run the full pipeline. This produces amalgamated systems of dimension D−1, D−2, down to 2.</w:t>
      </w:r>
    </w:p>
    <w:p>
      <w:pPr>
        <w:spacing w:after="60" w:before="60"/>
      </w:pPr>
      <w:r>
        <w:rPr>
          <w:rFonts w:ascii="Arial" w:cs="Arial" w:eastAsia="Arial" w:hAnsi="Arial"/>
          <w:b/>
          <w:bCs/>
          <w:sz w:val="22"/>
          <w:szCs w:val="22"/>
        </w:rPr>
        <w:t xml:space="preserve">Classification Persistence: </w:t>
      </w:r>
      <w:r>
        <w:rPr>
          <w:rFonts w:ascii="Arial" w:cs="Arial" w:eastAsia="Arial" w:hAnsi="Arial"/>
          <w:sz w:val="22"/>
          <w:szCs w:val="22"/>
        </w:rPr>
        <w:t xml:space="preserve">In all tested experiments, classification persists through all amalgamation levels — 100% invariance. The geometric structure is deep, not an artifact of carrier count.</w:t>
      </w:r>
    </w:p>
    <w:p>
      <w:pPr>
        <w:spacing w:after="60" w:before="60"/>
      </w:pPr>
      <w:r>
        <w:rPr>
          <w:rFonts w:ascii="Arial" w:cs="Arial" w:eastAsia="Arial" w:hAnsi="Arial"/>
          <w:b/>
          <w:bCs/>
          <w:sz w:val="22"/>
          <w:szCs w:val="22"/>
        </w:rPr>
        <w:t xml:space="preserve">Black Hole / White Hole Duality: </w:t>
      </w:r>
      <w:r>
        <w:rPr>
          <w:rFonts w:ascii="Arial" w:cs="Arial" w:eastAsia="Arial" w:hAnsi="Arial"/>
          <w:sz w:val="22"/>
          <w:szCs w:val="22"/>
        </w:rPr>
        <w:t xml:space="preserve">Pairwise log-ratios with CV &lt; 0.01: black holes (attractors — locked ratio, zero-entropy channel). CV ≥ 0.50: white holes (repellers — volatile ratio). In the cosmic energy budget, CDM/Baryon and Photon/Neutrino are deep-structure black holes — their ratios were fixed at the Big Bang and detected by the pipeline without physics input.</w:t>
      </w:r>
    </w:p>
    <w:p>
      <w:pPr>
        <w:spacing w:after="40" w:before="40"/>
      </w:pPr>
    </w:p>
    <w:p>
      <w:pPr>
        <w:spacing w:after="200" w:before="600"/>
        <w:jc w:val="center"/>
      </w:pPr>
      <w:r>
        <w:rPr>
          <w:rFonts w:ascii="Arial" w:cs="Arial" w:eastAsia="Arial" w:hAnsi="Arial"/>
          <w:b/>
          <w:bCs/>
          <w:color w:val="1A1A2E"/>
          <w:sz w:val="36"/>
          <w:szCs w:val="36"/>
        </w:rPr>
        <w:t xml:space="preserve">Part V: What the Analysis Reveals About the DUT</w:t>
      </w:r>
    </w:p>
    <w:p>
      <w:pPr>
        <w:pStyle w:val="Heading1"/>
        <w:spacing w:after="200" w:before="300"/>
      </w:pPr>
      <w:r>
        <w:rPr>
          <w:rFonts w:ascii="Arial" w:cs="Arial" w:eastAsia="Arial" w:hAnsi="Arial"/>
          <w:b/>
          <w:bCs/>
          <w:sz w:val="32"/>
          <w:szCs w:val="32"/>
        </w:rPr>
        <w:t xml:space="preserve">11. Reading the Cube Faces</w:t>
      </w:r>
    </w:p>
    <w:p>
      <w:pPr>
        <w:spacing w:after="60" w:before="60"/>
      </w:pPr>
      <w:r>
        <w:rPr>
          <w:rFonts w:ascii="Arial" w:cs="Arial" w:eastAsia="Arial" w:hAnsi="Arial"/>
          <w:sz w:val="22"/>
          <w:szCs w:val="22"/>
        </w:rPr>
        <w:t xml:space="preserve">Each face of the projection cube reveals different information about the device under test (DUT):</w:t>
      </w:r>
    </w:p>
    <w:p>
      <w:pPr>
        <w:spacing w:after="60" w:before="60"/>
      </w:pPr>
      <w:r>
        <w:rPr>
          <w:rFonts w:ascii="Arial" w:cs="Arial" w:eastAsia="Arial" w:hAnsi="Arial"/>
          <w:b/>
          <w:bCs/>
          <w:sz w:val="22"/>
          <w:szCs w:val="22"/>
        </w:rPr>
        <w:t xml:space="preserve">Face XY (Compositional Plane): </w:t>
      </w:r>
      <w:r>
        <w:rPr>
          <w:rFonts w:ascii="Arial" w:cs="Arial" w:eastAsia="Arial" w:hAnsi="Arial"/>
          <w:sz w:val="22"/>
          <w:szCs w:val="22"/>
        </w:rPr>
        <w:t xml:space="preserve">Where is the composition relative to uniform? Is it concentrated (far from origin) or diffuse (near origin)? Which carriers dominate (angle of the vector)? Does the dominant carrier change across observations (angular spread)?</w:t>
      </w:r>
    </w:p>
    <w:p>
      <w:pPr>
        <w:spacing w:after="60" w:before="60"/>
      </w:pPr>
      <w:r>
        <w:rPr>
          <w:rFonts w:ascii="Arial" w:cs="Arial" w:eastAsia="Arial" w:hAnsi="Arial"/>
          <w:b/>
          <w:bCs/>
          <w:sz w:val="22"/>
          <w:szCs w:val="22"/>
        </w:rPr>
        <w:t xml:space="preserve">Face XZ (Front Elevation): </w:t>
      </w:r>
      <w:r>
        <w:rPr>
          <w:rFonts w:ascii="Arial" w:cs="Arial" w:eastAsia="Arial" w:hAnsi="Arial"/>
          <w:sz w:val="22"/>
          <w:szCs w:val="22"/>
        </w:rPr>
        <w:t xml:space="preserve">How does the primary CLR component evolve? Is it consistently above or below the geometric mean? Does it cross the barycentre axis (sign change = dominance flip)? Is it stable or volatile?</w:t>
      </w:r>
    </w:p>
    <w:p>
      <w:pPr>
        <w:spacing w:after="60" w:before="60"/>
      </w:pPr>
      <w:r>
        <w:rPr>
          <w:rFonts w:ascii="Arial" w:cs="Arial" w:eastAsia="Arial" w:hAnsi="Arial"/>
          <w:b/>
          <w:bCs/>
          <w:sz w:val="22"/>
          <w:szCs w:val="22"/>
        </w:rPr>
        <w:t xml:space="preserve">Face YZ (Side Elevation): </w:t>
      </w:r>
      <w:r>
        <w:rPr>
          <w:rFonts w:ascii="Arial" w:cs="Arial" w:eastAsia="Arial" w:hAnsi="Arial"/>
          <w:sz w:val="22"/>
          <w:szCs w:val="22"/>
        </w:rPr>
        <w:t xml:space="preserve">Same questions for the secondary CLR component. Together with Face XZ, these two time-indexed views decompose the compositional change into orthogonal components.</w:t>
      </w:r>
    </w:p>
    <w:p>
      <w:pPr>
        <w:pStyle w:val="Heading1"/>
        <w:spacing w:after="200" w:before="300"/>
      </w:pPr>
      <w:r>
        <w:rPr>
          <w:rFonts w:ascii="Arial" w:cs="Arial" w:eastAsia="Arial" w:hAnsi="Arial"/>
          <w:b/>
          <w:bCs/>
          <w:sz w:val="32"/>
          <w:szCs w:val="32"/>
        </w:rPr>
        <w:t xml:space="preserve">12. Reading the Polar Slices</w:t>
      </w:r>
    </w:p>
    <w:p>
      <w:pPr>
        <w:spacing w:after="60" w:before="60"/>
      </w:pPr>
      <w:r>
        <w:rPr>
          <w:rFonts w:ascii="Arial" w:cs="Arial" w:eastAsia="Arial" w:hAnsi="Arial"/>
          <w:b/>
          <w:bCs/>
          <w:sz w:val="22"/>
          <w:szCs w:val="22"/>
        </w:rPr>
        <w:t xml:space="preserve">Individual slices: </w:t>
      </w:r>
      <w:r>
        <w:rPr>
          <w:rFonts w:ascii="Arial" w:cs="Arial" w:eastAsia="Arial" w:hAnsi="Arial"/>
          <w:sz w:val="22"/>
          <w:szCs w:val="22"/>
        </w:rPr>
        <w:t xml:space="preserve">Which carriers are above the geometric mean (green, pointing outward) and which are below (red, compressed)? How elongated is the polygon (high ρ = circular = near-uniform; low ρ = elongated = concentrated)?</w:t>
      </w:r>
    </w:p>
    <w:p>
      <w:pPr>
        <w:spacing w:after="60" w:before="60"/>
      </w:pPr>
      <w:r>
        <w:rPr>
          <w:rFonts w:ascii="Arial" w:cs="Arial" w:eastAsia="Arial" w:hAnsi="Arial"/>
          <w:b/>
          <w:bCs/>
          <w:sz w:val="22"/>
          <w:szCs w:val="22"/>
        </w:rPr>
        <w:t xml:space="preserve">Composite overlay: </w:t>
      </w:r>
      <w:r>
        <w:rPr>
          <w:rFonts w:ascii="Arial" w:cs="Arial" w:eastAsia="Arial" w:hAnsi="Arial"/>
          <w:sz w:val="22"/>
          <w:szCs w:val="22"/>
        </w:rPr>
        <w:t xml:space="preserve">Which carriers are stable across observations (overlapping vertices) vs volatile (spread vertices)? Is the polygon rotating (dominant carrier changing) or pulsing (same carrier, changing magnitude)?</w:t>
      </w:r>
    </w:p>
    <w:p>
      <w:pPr>
        <w:pStyle w:val="Heading1"/>
        <w:spacing w:after="200" w:before="300"/>
      </w:pPr>
      <w:r>
        <w:rPr>
          <w:rFonts w:ascii="Arial" w:cs="Arial" w:eastAsia="Arial" w:hAnsi="Arial"/>
          <w:b/>
          <w:bCs/>
          <w:sz w:val="32"/>
          <w:szCs w:val="32"/>
        </w:rPr>
        <w:t xml:space="preserve">13. Reading the Diagnostics</w:t>
      </w:r>
    </w:p>
    <w:p>
      <w:pPr>
        <w:pStyle w:val="Heading2"/>
        <w:spacing w:after="120" w:before="200"/>
      </w:pPr>
      <w:r>
        <w:rPr>
          <w:rFonts w:ascii="Arial" w:cs="Arial" w:eastAsia="Arial" w:hAnsi="Arial"/>
          <w:b/>
          <w:bCs/>
          <w:sz w:val="26"/>
          <w:szCs w:val="26"/>
        </w:rPr>
        <w:t xml:space="preserve">13.1 The Three-Word Classification</w:t>
      </w:r>
    </w:p>
    <w:p>
      <w:pPr>
        <w:spacing w:after="60" w:before="60"/>
      </w:pPr>
      <w:r>
        <w:rPr>
          <w:rFonts w:ascii="Arial" w:cs="Arial" w:eastAsia="Arial" w:hAnsi="Arial"/>
          <w:sz w:val="22"/>
          <w:szCs w:val="22"/>
        </w:rPr>
        <w:t xml:space="preserve">NATURAL: The variance locks to a universal transcendental constant. The composition has deep mathematical structure. The system is operating within a recognisable geometric regime.</w:t>
      </w:r>
    </w:p>
    <w:p>
      <w:pPr>
        <w:spacing w:after="60" w:before="60"/>
      </w:pPr>
      <w:r>
        <w:rPr>
          <w:rFonts w:ascii="Arial" w:cs="Arial" w:eastAsia="Arial" w:hAnsi="Arial"/>
          <w:sz w:val="22"/>
          <w:szCs w:val="22"/>
        </w:rPr>
        <w:t xml:space="preserve">INVESTIGATE: Near-match. The composition may have structure that is partially obscured by noise, missing carriers, or insufficient observation depth.</w:t>
      </w:r>
    </w:p>
    <w:p>
      <w:pPr>
        <w:spacing w:after="60" w:before="60"/>
      </w:pPr>
      <w:r>
        <w:rPr>
          <w:rFonts w:ascii="Arial" w:cs="Arial" w:eastAsia="Arial" w:hAnsi="Arial"/>
          <w:sz w:val="22"/>
          <w:szCs w:val="22"/>
        </w:rPr>
        <w:t xml:space="preserve">FLAG: No match. Either the composition is genuinely unstructured, or a carrier is missing, or the data has a systematic problem. The FLAG itself is a finding — the U-235 decay chain classified FLAG because the neutrino carrier was absent. Adding the neutrino resolved the flag.</w:t>
      </w:r>
    </w:p>
    <w:p>
      <w:pPr>
        <w:pStyle w:val="Heading2"/>
        <w:spacing w:after="120" w:before="200"/>
      </w:pPr>
      <w:r>
        <w:rPr>
          <w:rFonts w:ascii="Arial" w:cs="Arial" w:eastAsia="Arial" w:hAnsi="Arial"/>
          <w:b/>
          <w:bCs/>
          <w:sz w:val="26"/>
          <w:szCs w:val="26"/>
        </w:rPr>
        <w:t xml:space="preserve">13.2 The HVLD Shape</w:t>
      </w:r>
    </w:p>
    <w:p>
      <w:pPr>
        <w:spacing w:after="60" w:before="60"/>
      </w:pPr>
      <w:r>
        <w:rPr>
          <w:rFonts w:ascii="Arial" w:cs="Arial" w:eastAsia="Arial" w:hAnsi="Arial"/>
          <w:sz w:val="22"/>
          <w:szCs w:val="22"/>
        </w:rPr>
        <w:t xml:space="preserve">Bowl (a &gt; 0): Variance is accelerating. The composition is becoming more structured over time. New information is appearing.</w:t>
      </w:r>
    </w:p>
    <w:p>
      <w:pPr>
        <w:spacing w:after="60" w:before="60"/>
      </w:pPr>
      <w:r>
        <w:rPr>
          <w:rFonts w:ascii="Arial" w:cs="Arial" w:eastAsia="Arial" w:hAnsi="Arial"/>
          <w:sz w:val="22"/>
          <w:szCs w:val="22"/>
        </w:rPr>
        <w:t xml:space="preserve">Hill (a &lt; 0): Variance is decelerating. The composition reached peak structure and is relaxing. Information is saturating.</w:t>
      </w:r>
    </w:p>
    <w:p>
      <w:pPr>
        <w:spacing w:after="60" w:before="60"/>
      </w:pPr>
      <w:r>
        <w:rPr>
          <w:rFonts w:ascii="Arial" w:cs="Arial" w:eastAsia="Arial" w:hAnsi="Arial"/>
          <w:sz w:val="22"/>
          <w:szCs w:val="22"/>
        </w:rPr>
        <w:t xml:space="preserve">The vertex (t_v) locates where the curvature changes. In nuclear binding energy, the vertex identifies the iron peak — the most stable nucleus — without physics input.</w:t>
      </w:r>
    </w:p>
    <w:p>
      <w:pPr>
        <w:pStyle w:val="Heading2"/>
        <w:spacing w:after="120" w:before="200"/>
      </w:pPr>
      <w:r>
        <w:rPr>
          <w:rFonts w:ascii="Arial" w:cs="Arial" w:eastAsia="Arial" w:hAnsi="Arial"/>
          <w:b/>
          <w:bCs/>
          <w:sz w:val="26"/>
          <w:szCs w:val="26"/>
        </w:rPr>
        <w:t xml:space="preserve">13.3 The EITT Result</w:t>
      </w:r>
    </w:p>
    <w:p>
      <w:pPr>
        <w:spacing w:after="60" w:before="60"/>
      </w:pPr>
      <w:r>
        <w:rPr>
          <w:rFonts w:ascii="Arial" w:cs="Arial" w:eastAsia="Arial" w:hAnsi="Arial"/>
          <w:sz w:val="22"/>
          <w:szCs w:val="22"/>
        </w:rPr>
        <w:t xml:space="preserve">PASS: The composition’s information content is invariant under resolution change. Coarsen the data by 2×, 4×, 8× — the entropy barely changes. This means the structure is real, not an artifact of sampling.</w:t>
      </w:r>
    </w:p>
    <w:p>
      <w:pPr>
        <w:spacing w:after="60" w:before="60"/>
      </w:pPr>
      <w:r>
        <w:rPr>
          <w:rFonts w:ascii="Arial" w:cs="Arial" w:eastAsia="Arial" w:hAnsi="Arial"/>
          <w:sz w:val="22"/>
          <w:szCs w:val="22"/>
        </w:rPr>
        <w:t xml:space="preserve">FAIL: Resolution matters. The composition’s apparent structure depends on how finely you measure it. This is itself a diagnostic — it indicates the system has multi-scale behaviour or hidden substructure.</w:t>
      </w:r>
    </w:p>
    <w:p>
      <w:pPr>
        <w:pStyle w:val="Heading2"/>
        <w:spacing w:after="120" w:before="200"/>
      </w:pPr>
      <w:r>
        <w:rPr>
          <w:rFonts w:ascii="Arial" w:cs="Arial" w:eastAsia="Arial" w:hAnsi="Arial"/>
          <w:b/>
          <w:bCs/>
          <w:sz w:val="26"/>
          <w:szCs w:val="26"/>
        </w:rPr>
        <w:t xml:space="preserve">13.4 What the Numbers Mean for the DUT</w:t>
      </w:r>
    </w:p>
    <w:p>
      <w:pPr>
        <w:spacing w:after="60" w:before="60"/>
      </w:pPr>
      <w:r>
        <w:rPr>
          <w:rFonts w:ascii="Arial" w:cs="Arial" w:eastAsia="Arial" w:hAnsi="Arial"/>
          <w:sz w:val="22"/>
          <w:szCs w:val="22"/>
        </w:rPr>
        <w:t xml:space="preserve">The instrument reports numbers and codes. It does not interpret what those numbers mean for the domain. A NATURAL classification for nuclear binding energy and a NATURAL classification for bread composition use the same mathematics and the same codes. The expert in each domain provides the interpretation.</w:t>
      </w:r>
    </w:p>
    <w:p>
      <w:pPr>
        <w:spacing w:after="60" w:before="60"/>
      </w:pPr>
      <w:r>
        <w:rPr>
          <w:rFonts w:ascii="Arial" w:cs="Arial" w:eastAsia="Arial" w:hAnsi="Arial"/>
          <w:sz w:val="22"/>
          <w:szCs w:val="22"/>
        </w:rPr>
        <w:t xml:space="preserve">What the instrument guarantees:</w:t>
      </w:r>
    </w:p>
    <w:p>
      <w:pPr>
        <w:spacing w:after="60" w:before="60"/>
      </w:pPr>
      <w:r>
        <w:rPr>
          <w:rFonts w:ascii="Arial" w:cs="Arial" w:eastAsia="Arial" w:hAnsi="Arial"/>
          <w:b/>
          <w:bCs/>
          <w:sz w:val="22"/>
          <w:szCs w:val="22"/>
        </w:rPr>
        <w:t xml:space="preserve">If the shape does not match expectation, </w:t>
      </w:r>
      <w:r>
        <w:rPr>
          <w:rFonts w:ascii="Arial" w:cs="Arial" w:eastAsia="Arial" w:hAnsi="Arial"/>
          <w:sz w:val="22"/>
          <w:szCs w:val="22"/>
        </w:rPr>
        <w:t xml:space="preserve">the data contains that structure. The instrument does not fabricate.</w:t>
      </w:r>
    </w:p>
    <w:p>
      <w:pPr>
        <w:spacing w:after="60" w:before="60"/>
      </w:pPr>
      <w:r>
        <w:rPr>
          <w:rFonts w:ascii="Arial" w:cs="Arial" w:eastAsia="Arial" w:hAnsi="Arial"/>
          <w:b/>
          <w:bCs/>
          <w:sz w:val="22"/>
          <w:szCs w:val="22"/>
        </w:rPr>
        <w:t xml:space="preserve">Every data point is preserved. </w:t>
      </w:r>
      <w:r>
        <w:rPr>
          <w:rFonts w:ascii="Arial" w:cs="Arial" w:eastAsia="Arial" w:hAnsi="Arial"/>
          <w:sz w:val="22"/>
          <w:szCs w:val="22"/>
        </w:rPr>
        <w:t xml:space="preserve">No smoothing, no discarding, no suppression.</w:t>
      </w:r>
    </w:p>
    <w:p>
      <w:pPr>
        <w:spacing w:after="60" w:before="60"/>
      </w:pPr>
      <w:r>
        <w:rPr>
          <w:rFonts w:ascii="Arial" w:cs="Arial" w:eastAsia="Arial" w:hAnsi="Arial"/>
          <w:b/>
          <w:bCs/>
          <w:sz w:val="22"/>
          <w:szCs w:val="22"/>
        </w:rPr>
        <w:t xml:space="preserve">The methodology chain is stated. </w:t>
      </w:r>
      <w:r>
        <w:rPr>
          <w:rFonts w:ascii="Arial" w:cs="Arial" w:eastAsia="Arial" w:hAnsi="Arial"/>
          <w:sz w:val="22"/>
          <w:szCs w:val="22"/>
        </w:rPr>
        <w:t xml:space="preserve">Every step is certifiable to CoDaWork standards.</w:t>
      </w:r>
    </w:p>
    <w:p>
      <w:pPr>
        <w:spacing w:after="40" w:before="40"/>
      </w:pPr>
    </w:p>
    <w:p>
      <w:pPr>
        <w:spacing w:after="200" w:before="600"/>
        <w:jc w:val="center"/>
      </w:pPr>
      <w:r>
        <w:rPr>
          <w:rFonts w:ascii="Arial" w:cs="Arial" w:eastAsia="Arial" w:hAnsi="Arial"/>
          <w:b/>
          <w:bCs/>
          <w:color w:val="1A1A2E"/>
          <w:sz w:val="36"/>
          <w:szCs w:val="36"/>
        </w:rPr>
        <w:t xml:space="preserve">Part VI: The v4.1 Two-Stage Architecture</w:t>
      </w:r>
    </w:p>
    <w:p>
      <w:pPr>
        <w:pStyle w:val="Heading1"/>
        <w:spacing w:after="200" w:before="300"/>
      </w:pPr>
      <w:r>
        <w:rPr>
          <w:rFonts w:ascii="Arial" w:cs="Arial" w:eastAsia="Arial" w:hAnsi="Arial"/>
          <w:b/>
          <w:bCs/>
          <w:sz w:val="32"/>
          <w:szCs w:val="32"/>
        </w:rPr>
        <w:t xml:space="preserve">14. Stage 1: The Parser</w:t>
      </w:r>
    </w:p>
    <w:p>
      <w:pPr>
        <w:spacing w:after="60" w:before="60"/>
      </w:pPr>
      <w:r>
        <w:rPr>
          <w:rFonts w:ascii="Arial" w:cs="Arial" w:eastAsia="Arial" w:hAnsi="Arial"/>
          <w:sz w:val="22"/>
          <w:szCs w:val="22"/>
        </w:rPr>
        <w:t xml:space="preserve">Stage 1 is a standalone pre-parser that converts raw compositional data into Higgins Coordinates and derived scalars. It uses only direct, closed-form CoDa functions. It can be implemented in any language in under 20 lines of code. Its output is a standard intermediate format that serves as the verified input to Stage 2.</w:t>
      </w:r>
    </w:p>
    <w:p>
      <w:pPr>
        <w:spacing w:after="60" w:before="60"/>
      </w:pPr>
      <w:r>
        <w:rPr>
          <w:rFonts w:ascii="Arial" w:cs="Arial" w:eastAsia="Arial" w:hAnsi="Arial"/>
          <w:sz w:val="22"/>
          <w:szCs w:val="22"/>
        </w:rPr>
        <w:t xml:space="preserve">The parser improves community acceptance because Stage 1 is trivially verifiable — it is Aitchison 1986. Any CoDa researcher can reproduce the coordinates by hand. The conversation shifts from “is your pipeline correct?” to “what do these standard CoDa quantities reveal under your analysis?”</w:t>
      </w:r>
    </w:p>
    <w:p>
      <w:pPr>
        <w:pStyle w:val="Heading1"/>
        <w:spacing w:after="200" w:before="300"/>
      </w:pPr>
      <w:r>
        <w:rPr>
          <w:rFonts w:ascii="Arial" w:cs="Arial" w:eastAsia="Arial" w:hAnsi="Arial"/>
          <w:b/>
          <w:bCs/>
          <w:sz w:val="32"/>
          <w:szCs w:val="32"/>
        </w:rPr>
        <w:t xml:space="preserve">15. Stage 2: The Engine</w:t>
      </w:r>
    </w:p>
    <w:p>
      <w:pPr>
        <w:spacing w:after="60" w:before="60"/>
      </w:pPr>
      <w:r>
        <w:rPr>
          <w:rFonts w:ascii="Arial" w:cs="Arial" w:eastAsia="Arial" w:hAnsi="Arial"/>
          <w:sz w:val="22"/>
          <w:szCs w:val="22"/>
        </w:rPr>
        <w:t xml:space="preserve">Stage 2 accepts pre-computed Higgins Coordinates and runs the advanced analysis: variation matrix, HVLD, super squeeze, EITT, component power mapping, amalgamation, and diagnostic code generation. It skips the closure and CLR steps because they were already performed and verified in Stage 1.</w:t>
      </w:r>
    </w:p>
    <w:p>
      <w:pPr>
        <w:spacing w:after="60" w:before="60"/>
      </w:pPr>
      <w:r>
        <w:rPr>
          <w:rFonts w:ascii="Arial" w:cs="Arial" w:eastAsia="Arial" w:hAnsi="Arial"/>
          <w:sz w:val="22"/>
          <w:szCs w:val="22"/>
        </w:rPr>
        <w:t xml:space="preserve">Benefits: improved efficiency (engine skips redundant computation), improved reliability (Stage 1 output can be independently validated by any CoDa tool), improved modularity (different researchers can implement Stage 1 in their preferred language and feed the same intermediate format to the engine).</w:t>
      </w:r>
    </w:p>
    <w:p>
      <w:pPr>
        <w:pStyle w:val="Heading1"/>
        <w:spacing w:after="200" w:before="300"/>
      </w:pPr>
      <w:r>
        <w:rPr>
          <w:rFonts w:ascii="Arial" w:cs="Arial" w:eastAsia="Arial" w:hAnsi="Arial"/>
          <w:b/>
          <w:bCs/>
          <w:sz w:val="32"/>
          <w:szCs w:val="32"/>
        </w:rPr>
        <w:t xml:space="preserve">16. The Interface</w:t>
      </w:r>
    </w:p>
    <w:p>
      <w:pPr>
        <w:spacing w:after="60" w:before="60"/>
      </w:pPr>
      <w:r>
        <w:rPr>
          <w:rFonts w:ascii="Arial" w:cs="Arial" w:eastAsia="Arial" w:hAnsi="Arial"/>
          <w:sz w:val="22"/>
          <w:szCs w:val="22"/>
        </w:rPr>
        <w:t xml:space="preserve">The interface between stages is a matrix of Higgins Coordinates plus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Content</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 × D matrix of Higgins Coordinates (CLR values)</w:t>
            </w:r>
          </w:p>
        </w:tc>
      </w:tr>
      <w:tr>
        <w:tc>
          <w:tcPr>
            <w:tcW w:type="dxa" w:w="2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carriers</w:t>
            </w:r>
          </w:p>
        </w:tc>
        <w:tc>
          <w:tcPr>
            <w:tcW w:type="dxa" w:w="73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List of D carrier names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labels</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List of N observation labels (years, indices, etc.)</w:t>
            </w:r>
          </w:p>
        </w:tc>
      </w:tr>
      <w:tr>
        <w:tc>
          <w:tcPr>
            <w:tcW w:type="dxa" w:w="2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norms</w:t>
            </w:r>
          </w:p>
        </w:tc>
        <w:tc>
          <w:tcPr>
            <w:tcW w:type="dxa" w:w="73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Vector of N Aitchison norms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rho</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Vector of N circularity ratios</w:t>
            </w:r>
          </w:p>
        </w:tc>
      </w:tr>
      <w:tr>
        <w:tc>
          <w:tcPr>
            <w:tcW w:type="dxa" w:w="2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r_P</w:t>
            </w:r>
          </w:p>
        </w:tc>
        <w:tc>
          <w:tcPr>
            <w:tcW w:type="dxa" w:w="73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Vector of N Poincaré radii</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d_H</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Vector of N hyperbolic distances</w:t>
            </w:r>
          </w:p>
        </w:tc>
      </w:tr>
      <w:tr>
        <w:tc>
          <w:tcPr>
            <w:tcW w:type="dxa" w:w="2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D</w:t>
            </w:r>
          </w:p>
        </w:tc>
        <w:tc>
          <w:tcPr>
            <w:tcW w:type="dxa" w:w="73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Number of carriers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Number of observations</w:t>
            </w:r>
          </w:p>
        </w:tc>
      </w:tr>
    </w:tbl>
    <w:p>
      <w:pPr>
        <w:spacing w:after="60" w:before="60"/>
      </w:pPr>
      <w:r>
        <w:rPr>
          <w:rFonts w:ascii="Arial" w:cs="Arial" w:eastAsia="Arial" w:hAnsi="Arial"/>
          <w:sz w:val="22"/>
          <w:szCs w:val="22"/>
        </w:rPr>
        <w:t xml:space="preserve">This format is universal, portable, and standard CoDa. It can be saved as CSV, JSON, or any tabular format.</w:t>
      </w:r>
    </w:p>
    <w:p>
      <w:r>
        <w:br w:type="page"/>
      </w:r>
    </w:p>
    <w:p>
      <w:pPr>
        <w:spacing w:after="200" w:before="600"/>
        <w:jc w:val="center"/>
      </w:pPr>
      <w:r>
        <w:rPr>
          <w:rFonts w:ascii="Arial" w:cs="Arial" w:eastAsia="Arial" w:hAnsi="Arial"/>
          <w:b/>
          <w:bCs/>
          <w:color w:val="1A1A2E"/>
          <w:sz w:val="36"/>
          <w:szCs w:val="36"/>
        </w:rPr>
        <w:t xml:space="preserve">Part VII: Diagnostic Code Reference</w:t>
      </w:r>
    </w:p>
    <w:p>
      <w:pPr>
        <w:pStyle w:val="Heading1"/>
        <w:spacing w:after="200" w:before="300"/>
      </w:pPr>
      <w:r>
        <w:rPr>
          <w:rFonts w:ascii="Arial" w:cs="Arial" w:eastAsia="Arial" w:hAnsi="Arial"/>
          <w:b/>
          <w:bCs/>
          <w:sz w:val="32"/>
          <w:szCs w:val="32"/>
        </w:rPr>
        <w:t xml:space="preserve">17. Code System</w:t>
      </w:r>
    </w:p>
    <w:p>
      <w:pPr>
        <w:spacing w:after="60" w:before="60"/>
      </w:pPr>
      <w:r>
        <w:rPr>
          <w:rFonts w:ascii="Arial" w:cs="Arial" w:eastAsia="Arial" w:hAnsi="Arial"/>
          <w:sz w:val="22"/>
          <w:szCs w:val="22"/>
        </w:rPr>
        <w:t xml:space="preserve">Format: SS-CCC-LLL (Stage-Condition-Level). Levels: INF (information), WRN (warning), ERR (error), DIS (discovery), CAL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900"/>
        <w:gridCol w:w="4760"/>
      </w:tblGrid>
      <w:tr>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Group</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Stage</w:t>
            </w:r>
          </w:p>
        </w:tc>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Count</w:t>
            </w:r>
          </w:p>
        </w:tc>
        <w:tc>
          <w:tcPr>
            <w:tcW w:type="dxa" w:w="4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Function</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GD</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Input Guards</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6</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Reject invalid input</w:t>
            </w:r>
          </w:p>
        </w:tc>
      </w:tr>
      <w:tr>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S4</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Closure</w:t>
            </w:r>
          </w:p>
        </w:tc>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3</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Zero replacement, closure verification</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S5</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CLR</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Transform confirmation</w:t>
            </w:r>
          </w:p>
        </w:tc>
      </w:tr>
      <w:tr>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S6</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Variance</w:t>
            </w:r>
          </w:p>
        </w:tc>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3</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Range, zero check, stability</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S7</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HVLD</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5</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Shape, R², vertex, curvature</w:t>
            </w:r>
          </w:p>
        </w:tc>
      </w:tr>
      <w:tr>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S8</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Squeeze</w:t>
            </w:r>
          </w:p>
        </w:tc>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8</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Classification, Euler family detection</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S9</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EITT</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9</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Entropy invariance, chaos markers</w:t>
            </w:r>
          </w:p>
        </w:tc>
      </w:tr>
      <w:tr>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SA–SC</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Geometry</w:t>
            </w:r>
          </w:p>
        </w:tc>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3</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Ternary, complex, polar projections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XU</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Extended Universal</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18</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Per-carrier, drift, CoDa, fingerprint</w:t>
            </w:r>
          </w:p>
        </w:tc>
      </w:tr>
      <w:tr>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XC</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Extended Conditional</w:t>
            </w:r>
          </w:p>
        </w:tc>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12</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PID, transfer entropy, ratios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MX</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Matrix</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24</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Eigenstructure, impedance, commutators</w:t>
            </w:r>
          </w:p>
        </w:tc>
      </w:tr>
      <w:tr>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PD</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Poincaré</w:t>
            </w:r>
          </w:p>
        </w:tc>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9</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Circularity, hyperbolic, geodesic</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RP</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Report</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3</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Completion, determinism, verification</w:t>
            </w:r>
          </w:p>
        </w:tc>
      </w:tr>
      <w:tr>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Total</w:t>
            </w:r>
          </w:p>
        </w:tc>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106</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
            </w:r>
          </w:p>
        </w:tc>
      </w:tr>
    </w:tbl>
    <w:p>
      <w:pPr>
        <w:pStyle w:val="Heading1"/>
        <w:spacing w:after="200" w:before="300"/>
      </w:pPr>
      <w:r>
        <w:rPr>
          <w:rFonts w:ascii="Arial" w:cs="Arial" w:eastAsia="Arial" w:hAnsi="Arial"/>
          <w:b/>
          <w:bCs/>
          <w:sz w:val="32"/>
          <w:szCs w:val="32"/>
        </w:rPr>
        <w:t xml:space="preserve">18. Structural Modes</w:t>
      </w:r>
    </w:p>
    <w:p>
      <w:pPr>
        <w:spacing w:after="60" w:before="60"/>
      </w:pPr>
      <w:r>
        <w:rPr>
          <w:rFonts w:ascii="Arial" w:cs="Arial" w:eastAsia="Arial" w:hAnsi="Arial"/>
          <w:sz w:val="22"/>
          <w:szCs w:val="22"/>
        </w:rPr>
        <w:t xml:space="preserve">14 structural modes fire when specific combinations of codes are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Mode</w:t>
            </w:r>
          </w:p>
        </w:tc>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Code</w:t>
            </w:r>
          </w:p>
        </w:tc>
        <w:tc>
          <w:tcPr>
            <w:tcW w:type="dxa" w:w="5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Condition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Smooth Convergence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SM-SCG</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Bowl + EITT pass, no chaos, no flag</w:t>
            </w:r>
          </w:p>
        </w:tc>
      </w:tr>
      <w:tr>
        <w:tc>
          <w:tcPr>
            <w:tcW w:type="dxa" w:w="2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Bimodal Population</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SM-BPO</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Hill + EITT fail + chaos detected</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Missing Carrier</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SM-MCA</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Flag + zero crossing detected</w:t>
            </w:r>
          </w:p>
        </w:tc>
      </w:tr>
      <w:tr>
        <w:tc>
          <w:tcPr>
            <w:tcW w:type="dxa" w:w="2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Domain Resonance</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SM-DMR</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Euler family + natural, no flag</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Carrier Coupling</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SM-CPL</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PID redundancy + ratio stability</w:t>
            </w:r>
          </w:p>
        </w:tc>
      </w:tr>
      <w:tr>
        <w:tc>
          <w:tcPr>
            <w:tcW w:type="dxa" w:w="2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Carrier Independence</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SM-IND</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Multiple volatile ratios, no coupling</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Degenerate Simplex</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SM-DGN</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Zero crossing + flag or low R²</w:t>
            </w:r>
          </w:p>
        </w:tc>
      </w:tr>
      <w:tr>
        <w:tc>
          <w:tcPr>
            <w:tcW w:type="dxa" w:w="2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Regime Transition</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SM-RTR</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Stalls + reversals + drift detected</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Turbulent Natural</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SM-TNT</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Natural + EITT fail + chaos</w:t>
            </w:r>
          </w:p>
        </w:tc>
      </w:tr>
      <w:tr>
        <w:tc>
          <w:tcPr>
            <w:tcW w:type="dxa" w:w="2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Overconstrained</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SM-OVC</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High R² + natural + EITT pass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Frozen Eigenbasis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SM-FRZ</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Eigenvector locked + low entropy</w:t>
            </w:r>
          </w:p>
        </w:tc>
      </w:tr>
      <w:tr>
        <w:tc>
          <w:tcPr>
            <w:tcW w:type="dxa" w:w="2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Thermal State</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SM-THR</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High entropy + low condition number</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Matrix Resonance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SM-MXR</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Multiple eigenvalue transcendental matches</w:t>
            </w:r>
          </w:p>
        </w:tc>
      </w:tr>
      <w:tr>
        <w:tc>
          <w:tcPr>
            <w:tcW w:type="dxa" w:w="2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Eigenvalue Power</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SM-EDP</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Power law R² &gt; 0.8 in eigenvalues</w:t>
            </w:r>
          </w:p>
        </w:tc>
      </w:tr>
    </w:tbl>
    <w:p>
      <w:r>
        <w:br w:type="page"/>
      </w:r>
    </w:p>
    <w:p>
      <w:pPr>
        <w:spacing w:after="200" w:before="600"/>
        <w:jc w:val="center"/>
      </w:pPr>
      <w:r>
        <w:rPr>
          <w:rFonts w:ascii="Arial" w:cs="Arial" w:eastAsia="Arial" w:hAnsi="Arial"/>
          <w:b/>
          <w:bCs/>
          <w:color w:val="1A1A2E"/>
          <w:sz w:val="36"/>
          <w:szCs w:val="36"/>
        </w:rPr>
        <w:t xml:space="preserve">Part VIII: Notation and Closing</w:t>
      </w:r>
    </w:p>
    <w:p>
      <w:pPr>
        <w:pStyle w:val="Heading1"/>
        <w:spacing w:after="200" w:before="300"/>
      </w:pPr>
      <w:r>
        <w:rPr>
          <w:rFonts w:ascii="Arial" w:cs="Arial" w:eastAsia="Arial" w:hAnsi="Arial"/>
          <w:b/>
          <w:bCs/>
          <w:sz w:val="32"/>
          <w:szCs w:val="32"/>
        </w:rPr>
        <w:t xml:space="preserve">19. Complete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Symbol</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Name</w:t>
            </w:r>
          </w:p>
        </w:tc>
        <w:tc>
          <w:tcPr>
            <w:tcW w:type="dxa" w:w="4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Definition</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Barycentre</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(1/D, ..., 1/D) — uniform composition</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h(t)</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Higgins Coordinate</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CLR(x(t)) — position vector from barycentre</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h_j(t)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Component j</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ln(x_j) − (1/D)·Σ ln(x_k)</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||h(t)||_A</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Aitchison norm</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√(Σ h_j²) — distance from barycentre</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V</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Variation matrix</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Cov(h) — (D×D) symmetric</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σ²_A</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Total variance</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Tr(V) = Σ λ_i</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λ_i</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Eigenvalues of V</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Variance along principal axis i</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Γ</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Reflection coefficient</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√(1 − λ₁/Tr(V))</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ρ(t)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Circularity ratio</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r_min/r_max of polar slice</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α</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Projector parameter</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(1−f)/(1+f), f = floor</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a(t)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Normalised asymmetry</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(r_max−r_min)/(r_max+r_min)</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r_P(t)</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Poincaré radius</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(1−ρ)/(1+ρ)</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d_H(t)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Hyperbolic distance</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−ln(ρ) = 2·arctanh(α·a)</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Shannon entropy</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−Σ(p·ln(p))</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H_norm</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Normalised entropy</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 / ln(D)</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D_k</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Temporal decimation</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Geometric-mean blocks, factor k</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A_m</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Carrier amalgamation</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Merge m carriers, re-close</w:t>
            </w:r>
          </w:p>
        </w:tc>
      </w:tr>
    </w:tbl>
    <w:p>
      <w:pPr>
        <w:pStyle w:val="Heading1"/>
        <w:spacing w:after="200" w:before="300"/>
      </w:pPr>
      <w:r>
        <w:rPr>
          <w:rFonts w:ascii="Arial" w:cs="Arial" w:eastAsia="Arial" w:hAnsi="Arial"/>
          <w:b/>
          <w:bCs/>
          <w:sz w:val="32"/>
          <w:szCs w:val="32"/>
        </w:rPr>
        <w:t xml:space="preserve">20. The Decomposition</w:t>
      </w:r>
    </w:p>
    <w:p>
      <w:pPr>
        <w:spacing w:after="40" w:before="40"/>
        <w:ind w:left="720"/>
      </w:pPr>
      <w:r>
        <w:rPr>
          <w:rFonts w:ascii="Consolas" w:cs="Consolas" w:eastAsia="Consolas" w:hAnsi="Consolas"/>
          <w:color w:val="2E4057"/>
          <w:sz w:val="22"/>
          <w:szCs w:val="22"/>
        </w:rPr>
        <w:t xml:space="preserve">Hs = R ∘ M ∘ E ∘ C ∘ T ∘ V ∘ S</w:t>
      </w:r>
    </w:p>
    <w:p>
      <w:pPr>
        <w:spacing w:after="60" w:before="60"/>
      </w:pPr>
      <w:r>
        <w:rPr>
          <w:rFonts w:ascii="Arial" w:cs="Arial" w:eastAsia="Arial" w:hAnsi="Arial"/>
          <w:sz w:val="22"/>
          <w:szCs w:val="22"/>
        </w:rPr>
        <w:t xml:space="preserve">S = Closure (project onto simplex). V = Variance (cumulative σ²_A from Higgins Coordinates). T = Transform (CLR — produces Higgins Coordinates). C = Classification (squeeze against 35 constants). E = Entropy test (EITT decimation). M = Mode synthesis (conjunction of diagnostic predicates). R = Report (codes + fingerprint + structured output).</w:t>
      </w:r>
    </w:p>
    <w:p>
      <w:pPr>
        <w:spacing w:after="60" w:before="60"/>
      </w:pPr>
      <w:r>
        <w:rPr>
          <w:rFonts w:ascii="Arial" w:cs="Arial" w:eastAsia="Arial" w:hAnsi="Arial"/>
          <w:sz w:val="22"/>
          <w:szCs w:val="22"/>
        </w:rPr>
        <w:t xml:space="preserve">Every layer operates on position vectors from the barycentre or on statistics derived from them. No layer requires inter-point connections. The function is pure, deterministic, and self-similar at every level of decomposition.</w:t>
      </w:r>
    </w:p>
    <w:p>
      <w:pPr>
        <w:pStyle w:val="Heading1"/>
        <w:spacing w:after="200" w:before="300"/>
      </w:pPr>
      <w:r>
        <w:rPr>
          <w:rFonts w:ascii="Arial" w:cs="Arial" w:eastAsia="Arial" w:hAnsi="Arial"/>
          <w:b/>
          <w:bCs/>
          <w:sz w:val="32"/>
          <w:szCs w:val="32"/>
        </w:rPr>
        <w:t xml:space="preserve">21. Tested Domains</w:t>
      </w:r>
    </w:p>
    <w:p>
      <w:pPr>
        <w:spacing w:after="60" w:before="60"/>
      </w:pPr>
      <w:r>
        <w:rPr>
          <w:rFonts w:ascii="Arial" w:cs="Arial" w:eastAsia="Arial" w:hAnsi="Arial"/>
          <w:sz w:val="22"/>
          <w:szCs w:val="22"/>
        </w:rPr>
        <w:t xml:space="preserve">The system has been tested across 18 scientific domains spanning 44 orders of magnitude (10⁻¹⁸ m to 10²⁶ m): commodities, nuclear physics (SEMF, AME2020, decay chains), particle physics, cosmology (Planck 2018), materials science, geochemistry, signal processing, energy systems (EMBER), engineering, gravitational waves, spring-mass dynamics, thermodynamic oscillators, titration chemistry, and calibration standards. All 18 domains produce structurally consistent results. 32 publication-worthy findings across 4 tiers.</w:t>
      </w:r>
    </w:p>
    <w:p>
      <w:pPr>
        <w:pStyle w:val="Heading1"/>
        <w:spacing w:after="200" w:before="300"/>
      </w:pPr>
      <w:r>
        <w:rPr>
          <w:rFonts w:ascii="Arial" w:cs="Arial" w:eastAsia="Arial" w:hAnsi="Arial"/>
          <w:b/>
          <w:bCs/>
          <w:sz w:val="32"/>
          <w:szCs w:val="32"/>
        </w:rPr>
        <w:t xml:space="preserve">22. What This System Answers</w:t>
      </w:r>
    </w:p>
    <w:p>
      <w:pPr>
        <w:spacing w:after="60" w:before="60"/>
      </w:pPr>
      <w:r>
        <w:rPr>
          <w:rFonts w:ascii="Arial" w:cs="Arial" w:eastAsia="Arial" w:hAnsi="Arial"/>
          <w:sz w:val="22"/>
          <w:szCs w:val="22"/>
        </w:rPr>
        <w:t xml:space="preserve">The Higgins Coordinate System answers one question:</w:t>
      </w:r>
    </w:p>
    <w:p>
      <w:pPr>
        <w:spacing w:after="200" w:before="200"/>
        <w:jc w:val="center"/>
      </w:pPr>
      <w:r>
        <w:rPr>
          <w:rFonts w:ascii="Arial" w:cs="Arial" w:eastAsia="Arial" w:hAnsi="Arial"/>
          <w:b/>
          <w:bCs/>
          <w:i/>
          <w:iCs/>
          <w:color w:val="2E4057"/>
          <w:sz w:val="26"/>
          <w:szCs w:val="26"/>
        </w:rPr>
        <w:t xml:space="preserve">What is invariant about this composition?</w:t>
      </w:r>
    </w:p>
    <w:p>
      <w:pPr>
        <w:spacing w:after="60" w:before="60"/>
      </w:pPr>
      <w:r>
        <w:rPr>
          <w:rFonts w:ascii="Arial" w:cs="Arial" w:eastAsia="Arial" w:hAnsi="Arial"/>
          <w:sz w:val="22"/>
          <w:szCs w:val="22"/>
        </w:rPr>
        <w:t xml:space="preserve">It answers by testing invariance at every level: temporal invariance (EITT), carrier invariance (amalgamation), ratio invariance (black holes), shape invariance (HVLD), constant invariance (super squeeze), and basis invariance (CLR = ILR at the trace). The decomposition is the decimation turned inside out. What it decimates: observations and carriers. What it measures: what survives. What it reports: the invariants.</w:t>
      </w:r>
    </w:p>
    <w:p>
      <w:pPr>
        <w:spacing w:after="40" w:before="40"/>
      </w:pPr>
    </w:p>
    <w:p>
      <w:pPr>
        <w:spacing w:after="40" w:before="40"/>
      </w:pPr>
    </w:p>
    <w:p>
      <w:pPr>
        <w:jc w:val="center"/>
      </w:pPr>
      <w:r>
        <w:rPr>
          <w:rFonts w:ascii="Arial" w:cs="Arial" w:eastAsia="Arial" w:hAnsi="Arial"/>
          <w:i/>
          <w:iCs/>
          <w:color w:val="888888"/>
          <w:sz w:val="22"/>
          <w:szCs w:val="22"/>
        </w:rPr>
        <w:t xml:space="preserve">The instrument reads. The expert decides. The loop stays open.</w:t>
      </w:r>
    </w:p>
    <w:p>
      <w:pPr>
        <w:spacing w:after="40" w:before="40"/>
      </w:pPr>
    </w:p>
    <w:p>
      <w:pPr>
        <w:jc w:val="center"/>
      </w:pPr>
      <w:r>
        <w:rPr>
          <w:rFonts w:ascii="Arial" w:cs="Arial" w:eastAsia="Arial" w:hAnsi="Arial"/>
          <w:color w:val="888888"/>
          <w:sz w:val="20"/>
          <w:szCs w:val="20"/>
        </w:rPr>
        <w:t xml:space="preserve">Peter Higgins — Rogue Wave Audio — RWA-001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Peter Higgins — Rogue Wave Audio — RWA-001</w:t>
    </w:r>
    <w: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tabs>
        <w:tab w:val="right" w:pos="9026"/>
      </w:tabs>
    </w:pPr>
    <w:r>
      <w:rPr>
        <w:rFonts w:ascii="Arial" w:cs="Arial" w:eastAsia="Arial" w:hAnsi="Arial"/>
        <w:i/>
        <w:iCs/>
        <w:color w:val="888888"/>
        <w:sz w:val="16"/>
        <w:szCs w:val="16"/>
      </w:rPr>
      <w:t xml:space="preserve">The Higgins Coordinate System Handbook</w:t>
    </w:r>
    <w:r>
      <w:rPr>
        <w:rFonts w:ascii="Arial" w:cs="Arial" w:eastAsia="Arial" w:hAnsi="Arial"/>
        <w:color w:val="888888"/>
        <w:sz w:val="16"/>
        <w:szCs w:val="16"/>
      </w:rPr>
      <w:t xml:space="preserve">	v4.1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2026-05-02T09:39:27.608Z</dcterms:created>
  <dcterms:modified xsi:type="dcterms:W3CDTF">2026-05-02T09:39:27.608Z</dcterms:modified>
</cp:coreProperties>
</file>

<file path=docProps/custom.xml><?xml version="1.0" encoding="utf-8"?>
<Properties xmlns="http://schemas.openxmlformats.org/officeDocument/2006/custom-properties" xmlns:vt="http://schemas.openxmlformats.org/officeDocument/2006/docPropsVTypes"/>
</file>