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E2761"/>
          <w:sz w:val="56"/>
          <w:szCs w:val="56"/>
        </w:rPr>
        <w:t xml:space="preserve">Compositional Navigation Tensor</w:t>
      </w:r>
    </w:p>
    <w:p>
      <w:pPr>
        <w:spacing w:after="100"/>
        <w:jc w:val="center"/>
      </w:pPr>
      <w:r>
        <w:rPr>
          <w:rFonts w:ascii="Arial" w:cs="Arial" w:eastAsia="Arial" w:hAnsi="Arial"/>
          <w:b/>
          <w:bCs/>
          <w:color w:val="3B5998"/>
          <w:sz w:val="44"/>
          <w:szCs w:val="44"/>
        </w:rPr>
        <w:t xml:space="preserve">Engine Mathematics Handbook</w:t>
      </w:r>
    </w:p>
    <w:p>
      <w:pPr>
        <w:pBdr>
          <w:bottom w:val="single" w:color="2E75B6" w:sz="4" w:space="1"/>
        </w:pBdr>
        <w:spacing w:after="120" w:before="120"/>
      </w:pPr>
    </w:p>
    <w:p>
      <w:pPr>
        <w:spacing w:after="80" w:before="200"/>
        <w:jc w:val="center"/>
      </w:pPr>
      <w:r>
        <w:rPr>
          <w:rFonts w:ascii="Arial" w:cs="Arial" w:eastAsia="Arial" w:hAnsi="Arial"/>
          <w:color w:val="666666"/>
          <w:sz w:val="24"/>
          <w:szCs w:val="24"/>
        </w:rPr>
        <w:t xml:space="preserve">Higgins Computational Instruments</w:t>
      </w:r>
    </w:p>
    <w:p>
      <w:pPr>
        <w:spacing w:after="80"/>
        <w:jc w:val="center"/>
      </w:pPr>
      <w:r>
        <w:rPr>
          <w:rFonts w:ascii="Arial" w:cs="Arial" w:eastAsia="Arial" w:hAnsi="Arial"/>
          <w:color w:val="666666"/>
          <w:sz w:val="24"/>
          <w:szCs w:val="24"/>
        </w:rPr>
        <w:t xml:space="preserve">Peter Higgins</w:t>
      </w:r>
    </w:p>
    <w:p>
      <w:pPr>
        <w:spacing w:after="80"/>
        <w:jc w:val="center"/>
      </w:pPr>
      <w:r>
        <w:rPr>
          <w:rFonts w:ascii="Arial" w:cs="Arial" w:eastAsia="Arial" w:hAnsi="Arial"/>
          <w:color w:val="666666"/>
          <w:sz w:val="24"/>
          <w:szCs w:val="24"/>
        </w:rPr>
        <w:t xml:space="preserve">May 2026</w:t>
      </w:r>
    </w:p>
    <w:p>
      <w:pPr>
        <w:spacing w:before="600"/>
        <w:jc w:val="center"/>
      </w:pPr>
      <w:r>
        <w:rPr>
          <w:rFonts w:ascii="Arial" w:cs="Arial" w:eastAsia="Arial" w:hAnsi="Arial"/>
          <w:i/>
          <w:iCs/>
          <w:color w:val="666666"/>
          <w:sz w:val="20"/>
          <w:szCs w:val="20"/>
        </w:rPr>
        <w:t xml:space="preserve">Version 1.0  —  Engine Qualified to IEEE 754 Double Precision Floor</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E2761"/>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E2761"/>
        </w:rPr>
        <w:t xml:space="preserve">1. Introduction</w:t>
      </w:r>
    </w:p>
    <w:p>
      <w:pPr>
        <w:spacing w:after="80" w:before="80"/>
        <w:jc w:val="left"/>
      </w:pPr>
      <w:r>
        <w:rPr>
          <w:rFonts w:ascii="Arial" w:cs="Arial" w:eastAsia="Arial" w:hAnsi="Arial"/>
          <w:color w:val="000000"/>
          <w:sz w:val="22"/>
          <w:szCs w:val="22"/>
        </w:rPr>
        <w:t xml:space="preserve">This handbook provides the complete mathematical specification of the Compositional Navigation Tensor (CNT) engine, the computational core of the Higgins Compositional Bearing Scope (CBS). It covers the geometric foundations, all four tensor channels, the precision analysis that qualified the engine to IEEE 754 double precision floor, and the connection to established compositional data analysis (CoDa) theory.</w:t>
      </w:r>
    </w:p>
    <w:p>
      <w:pPr>
        <w:spacing w:after="80" w:before="80"/>
        <w:jc w:val="left"/>
      </w:pPr>
      <w:r>
        <w:rPr>
          <w:rFonts w:ascii="Arial" w:cs="Arial" w:eastAsia="Arial" w:hAnsi="Arial"/>
          <w:color w:val="000000"/>
          <w:sz w:val="22"/>
          <w:szCs w:val="22"/>
        </w:rPr>
        <w:t xml:space="preserve">The CNT was developed as part of the Higgins Decomposition framework (2025–2026) to provide navigation instrumentation for compositional trajectories on the simplex. It computes, from any closed composition, four quantities that fully characterise the instantaneous directional state and rate of change of a compositional system.</w:t>
      </w:r>
    </w:p>
    <w:p>
      <w:pPr>
        <w:pStyle w:val="Heading2"/>
      </w:pPr>
      <w:r>
        <w:rPr>
          <w:rFonts w:ascii="Arial" w:cs="Arial" w:eastAsia="Arial" w:hAnsi="Arial"/>
          <w:b/>
          <w:bCs/>
          <w:color w:val="1E2761"/>
        </w:rPr>
        <w:t xml:space="preserve">1.1 Scope</w:t>
      </w:r>
    </w:p>
    <w:p>
      <w:pPr>
        <w:spacing w:after="80" w:before="80"/>
        <w:jc w:val="left"/>
      </w:pPr>
      <w:r>
        <w:rPr>
          <w:rFonts w:ascii="Arial" w:cs="Arial" w:eastAsia="Arial" w:hAnsi="Arial"/>
          <w:color w:val="000000"/>
          <w:sz w:val="22"/>
          <w:szCs w:val="22"/>
        </w:rPr>
        <w:t xml:space="preserve">This document is a mathematics reference. It contains definitions, proofs, derivations, and experimental verification. It does not contain domain interpretation, operational guidance, or data analysis. For those, see the Manifold Character Handbook and the Projection Atlas.</w:t>
      </w:r>
    </w:p>
    <w:p>
      <w:pPr>
        <w:pStyle w:val="Heading2"/>
      </w:pPr>
      <w:r>
        <w:rPr>
          <w:rFonts w:ascii="Arial" w:cs="Arial" w:eastAsia="Arial" w:hAnsi="Arial"/>
          <w:b/>
          <w:bCs/>
          <w:color w:val="1E2761"/>
        </w:rPr>
        <w:t xml:space="preserve">1.2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Symbol</w:t>
            </w:r>
          </w:p>
        </w:tc>
        <w:tc>
          <w:tcPr>
            <w:tcW w:type="dxa" w:w="7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x</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Closed composition in the D-simplex, x_j &gt; 0, Σx_j =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Number of parts (carriers, components)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 = clr(x)</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Centred log-ratio transform: h_j = log(x_j) − (1/D)Σlog(x_k)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θ</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Bearing — pairwise angle in CLR space (degrees)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ω</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Angular velocity — total heading change between consecutive CLR vectors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κ</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Steering sensitivity — diagonal Aitchison metric tensor, κ_jj = 1/x_j</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σ</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Helmsman — carrier index with maximum |CLR displacement|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ε</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Machine epsilon = 2.22 × 10⁻¹⁶ (IEEE 754 double)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e_k</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k-th Helmert basis vector for the CLR zero-sum plane</w:t>
            </w:r>
          </w:p>
        </w:tc>
      </w:tr>
    </w:tbl>
    <w:p>
      <w:r>
        <w:br w:type="page"/>
      </w:r>
    </w:p>
    <w:p>
      <w:pPr>
        <w:pStyle w:val="Heading1"/>
      </w:pPr>
      <w:r>
        <w:rPr>
          <w:rFonts w:ascii="Arial" w:cs="Arial" w:eastAsia="Arial" w:hAnsi="Arial"/>
          <w:b/>
          <w:bCs/>
          <w:color w:val="1E2761"/>
        </w:rPr>
        <w:t xml:space="preserve">2. CLR Geometry and the Zero-Sum Plane</w:t>
      </w:r>
    </w:p>
    <w:p>
      <w:pPr>
        <w:pStyle w:val="Heading2"/>
      </w:pPr>
      <w:r>
        <w:rPr>
          <w:rFonts w:ascii="Arial" w:cs="Arial" w:eastAsia="Arial" w:hAnsi="Arial"/>
          <w:b/>
          <w:bCs/>
          <w:color w:val="1E2761"/>
        </w:rPr>
        <w:t xml:space="preserve">2.1 The CLR Transform</w:t>
      </w:r>
    </w:p>
    <w:p>
      <w:pPr>
        <w:spacing w:after="80" w:before="80"/>
        <w:jc w:val="left"/>
      </w:pPr>
      <w:r>
        <w:rPr>
          <w:rFonts w:ascii="Arial" w:cs="Arial" w:eastAsia="Arial" w:hAnsi="Arial"/>
          <w:color w:val="000000"/>
          <w:sz w:val="22"/>
          <w:szCs w:val="22"/>
        </w:rPr>
        <w:t xml:space="preserve">The centred log-ratio transform maps a D-part composition x to a vector in R^D:</w:t>
      </w:r>
    </w:p>
    <w:p>
      <w:pPr>
        <w:spacing w:after="40" w:before="40"/>
        <w:ind w:left="720"/>
      </w:pPr>
      <w:r>
        <w:rPr>
          <w:rFonts w:ascii="Consolas" w:cs="Consolas" w:eastAsia="Consolas" w:hAnsi="Consolas"/>
          <w:color w:val="3B5998"/>
          <w:sz w:val="20"/>
          <w:szCs w:val="20"/>
        </w:rPr>
        <w:t xml:space="preserve">h_j = log(x_j) − (1/D) Σ_{k=1}^{D} log(x_k)</w:t>
      </w:r>
    </w:p>
    <w:p>
      <w:pPr>
        <w:spacing w:after="80" w:before="80"/>
        <w:jc w:val="left"/>
      </w:pPr>
      <w:r>
        <w:rPr>
          <w:rFonts w:ascii="Arial" w:cs="Arial" w:eastAsia="Arial" w:hAnsi="Arial"/>
          <w:color w:val="000000"/>
          <w:sz w:val="22"/>
          <w:szCs w:val="22"/>
        </w:rPr>
        <w:t xml:space="preserve">By construction, Σh_j = 0. This confines all CLR vectors to a (D−1)-dimensional hyperplane through the origin with normal vector 1 = [1,1,...,1]/√D. The hyperplane is the CLR zero-sum plane.</w:t>
      </w:r>
    </w:p>
    <w:p>
      <w:pPr>
        <w:pStyle w:val="Heading2"/>
      </w:pPr>
      <w:r>
        <w:rPr>
          <w:rFonts w:ascii="Arial" w:cs="Arial" w:eastAsia="Arial" w:hAnsi="Arial"/>
          <w:b/>
          <w:bCs/>
          <w:color w:val="1E2761"/>
        </w:rPr>
        <w:t xml:space="preserve">2.2 Zero-Sum Residual</w:t>
      </w:r>
    </w:p>
    <w:p>
      <w:pPr>
        <w:spacing w:after="80" w:before="80"/>
        <w:jc w:val="left"/>
      </w:pPr>
      <w:r>
        <w:rPr>
          <w:rFonts w:ascii="Arial" w:cs="Arial" w:eastAsia="Arial" w:hAnsi="Arial"/>
          <w:color w:val="000000"/>
          <w:sz w:val="22"/>
          <w:szCs w:val="22"/>
        </w:rPr>
        <w:t xml:space="preserve">Experiment P01 verified that the zero-sum property holds to within 8ε of machine precision across all tested compositions, including extreme skew (x_min = 10⁻⁶) and high dimensionality (D = 20). The maximum observed residual was |Σh_j| = 1.78 × 10⁻¹⁵.</w:t>
      </w:r>
    </w:p>
    <w:p>
      <w:pPr>
        <w:pStyle w:val="Heading2"/>
      </w:pPr>
      <w:r>
        <w:rPr>
          <w:rFonts w:ascii="Arial" w:cs="Arial" w:eastAsia="Arial" w:hAnsi="Arial"/>
          <w:b/>
          <w:bCs/>
          <w:color w:val="1E2761"/>
        </w:rPr>
        <w:t xml:space="preserve">2.3 The Orthonormal Basis Problem</w:t>
      </w:r>
    </w:p>
    <w:p>
      <w:pPr>
        <w:spacing w:after="80" w:before="80"/>
        <w:jc w:val="left"/>
      </w:pPr>
      <w:r>
        <w:rPr>
          <w:rFonts w:ascii="Arial" w:cs="Arial" w:eastAsia="Arial" w:hAnsi="Arial"/>
          <w:color w:val="000000"/>
          <w:sz w:val="22"/>
          <w:szCs w:val="22"/>
        </w:rPr>
        <w:t xml:space="preserve">To parametrise a circle on the zero-sum plane (needed for calibration test T03), one must choose basis vectors that lie in the plane. The naive construction:</w:t>
      </w:r>
    </w:p>
    <w:p>
      <w:pPr>
        <w:spacing w:after="40" w:before="40"/>
        <w:ind w:left="720"/>
      </w:pPr>
      <w:r>
        <w:rPr>
          <w:rFonts w:ascii="Consolas" w:cs="Consolas" w:eastAsia="Consolas" w:hAnsi="Consolas"/>
          <w:color w:val="3B5998"/>
          <w:sz w:val="20"/>
          <w:szCs w:val="20"/>
        </w:rPr>
        <w:t xml:space="preserve">h = [r·cosθ,  r·sinθ,  −(r·cosθ + r·sinθ)]</w:t>
      </w:r>
    </w:p>
    <w:p>
      <w:pPr>
        <w:spacing w:after="80" w:before="80"/>
        <w:jc w:val="left"/>
      </w:pPr>
      <w:r>
        <w:rPr>
          <w:rFonts w:ascii="Arial" w:cs="Arial" w:eastAsia="Arial" w:hAnsi="Arial"/>
          <w:color w:val="000000"/>
          <w:sz w:val="22"/>
          <w:szCs w:val="22"/>
        </w:rPr>
        <w:t xml:space="preserve">satisfies zero-sum but produces varying norm:</w:t>
      </w:r>
    </w:p>
    <w:p>
      <w:pPr>
        <w:spacing w:after="40" w:before="40"/>
        <w:ind w:left="720"/>
      </w:pPr>
      <w:r>
        <w:rPr>
          <w:rFonts w:ascii="Consolas" w:cs="Consolas" w:eastAsia="Consolas" w:hAnsi="Consolas"/>
          <w:color w:val="3B5998"/>
          <w:sz w:val="20"/>
          <w:szCs w:val="20"/>
        </w:rPr>
        <w:t xml:space="preserve">||h||² = r²(2 + sin 2θ)</w:t>
      </w:r>
    </w:p>
    <w:p>
      <w:pPr>
        <w:spacing w:after="80" w:before="80"/>
        <w:jc w:val="left"/>
      </w:pPr>
      <w:r>
        <w:rPr>
          <w:rFonts w:ascii="Arial" w:cs="Arial" w:eastAsia="Arial" w:hAnsi="Arial"/>
          <w:color w:val="000000"/>
          <w:sz w:val="22"/>
          <w:szCs w:val="22"/>
        </w:rPr>
        <w:t xml:space="preserve">This oscillates between r² and 3r², a 53.6% norm variation. The ratio max/min = √3 ≈ 1.732. This is a geometric defect, not numerical error: the parametrisation traces an ellipse on the zero-sum plane, not a circle.</w:t>
      </w:r>
    </w:p>
    <w:p>
      <w:pPr>
        <w:pStyle w:val="Heading2"/>
      </w:pPr>
      <w:r>
        <w:rPr>
          <w:rFonts w:ascii="Arial" w:cs="Arial" w:eastAsia="Arial" w:hAnsi="Arial"/>
          <w:b/>
          <w:bCs/>
          <w:color w:val="1E2761"/>
        </w:rPr>
        <w:t xml:space="preserve">2.4 The Helmert Submatrix</w:t>
      </w:r>
    </w:p>
    <w:p>
      <w:pPr>
        <w:spacing w:after="80" w:before="80"/>
        <w:jc w:val="left"/>
      </w:pPr>
      <w:r>
        <w:rPr>
          <w:rFonts w:ascii="Arial" w:cs="Arial" w:eastAsia="Arial" w:hAnsi="Arial"/>
          <w:color w:val="000000"/>
          <w:sz w:val="22"/>
          <w:szCs w:val="22"/>
        </w:rPr>
        <w:t xml:space="preserve">The standard orthonormal basis for the zero-sum plane is the Helmert submatrix (Egozcue et al. 2003). Row k (1-indexed, k = 1, ..., D−1):</w:t>
      </w:r>
    </w:p>
    <w:p>
      <w:pPr>
        <w:spacing w:after="40" w:before="40"/>
        <w:ind w:left="720"/>
      </w:pPr>
      <w:r>
        <w:rPr>
          <w:rFonts w:ascii="Consolas" w:cs="Consolas" w:eastAsia="Consolas" w:hAnsi="Consolas"/>
          <w:color w:val="3B5998"/>
          <w:sz w:val="20"/>
          <w:szCs w:val="20"/>
        </w:rPr>
        <w:t xml:space="preserve">(e_k)_j = 1/√(k(k+1))     for j &lt; k</w:t>
      </w:r>
    </w:p>
    <w:p>
      <w:pPr>
        <w:spacing w:after="40" w:before="40"/>
        <w:ind w:left="720"/>
      </w:pPr>
      <w:r>
        <w:rPr>
          <w:rFonts w:ascii="Consolas" w:cs="Consolas" w:eastAsia="Consolas" w:hAnsi="Consolas"/>
          <w:color w:val="3B5998"/>
          <w:sz w:val="20"/>
          <w:szCs w:val="20"/>
        </w:rPr>
        <w:t xml:space="preserve">(e_k)_j = −k/√(k(k+1))    for j = k</w:t>
      </w:r>
    </w:p>
    <w:p>
      <w:pPr>
        <w:spacing w:after="40" w:before="40"/>
        <w:ind w:left="720"/>
      </w:pPr>
      <w:r>
        <w:rPr>
          <w:rFonts w:ascii="Consolas" w:cs="Consolas" w:eastAsia="Consolas" w:hAnsi="Consolas"/>
          <w:color w:val="3B5998"/>
          <w:sz w:val="20"/>
          <w:szCs w:val="20"/>
        </w:rPr>
        <w:t xml:space="preserve">(e_k)_j = 0                for j &gt; k</w:t>
      </w:r>
    </w:p>
    <w:p>
      <w:pPr>
        <w:spacing w:after="80" w:before="80"/>
        <w:jc w:val="left"/>
      </w:pPr>
      <w:r>
        <w:rPr>
          <w:rFonts w:ascii="Arial" w:cs="Arial" w:eastAsia="Arial" w:hAnsi="Arial"/>
          <w:color w:val="000000"/>
          <w:sz w:val="22"/>
          <w:szCs w:val="22"/>
        </w:rPr>
        <w:t xml:space="preserve">For D = 3, this gives:</w:t>
      </w:r>
    </w:p>
    <w:p>
      <w:pPr>
        <w:spacing w:after="40" w:before="40"/>
        <w:ind w:left="720"/>
      </w:pPr>
      <w:r>
        <w:rPr>
          <w:rFonts w:ascii="Consolas" w:cs="Consolas" w:eastAsia="Consolas" w:hAnsi="Consolas"/>
          <w:color w:val="3B5998"/>
          <w:sz w:val="20"/>
          <w:szCs w:val="20"/>
        </w:rPr>
        <w:t xml:space="preserve">e₁ = [1/√2,  −1/√2,  0      ]  ≈ [0.7071, −0.7071,  0     ]</w:t>
      </w:r>
    </w:p>
    <w:p>
      <w:pPr>
        <w:spacing w:after="40" w:before="40"/>
        <w:ind w:left="720"/>
      </w:pPr>
      <w:r>
        <w:rPr>
          <w:rFonts w:ascii="Consolas" w:cs="Consolas" w:eastAsia="Consolas" w:hAnsi="Consolas"/>
          <w:color w:val="3B5998"/>
          <w:sz w:val="20"/>
          <w:szCs w:val="20"/>
        </w:rPr>
        <w:t xml:space="preserve">e₂ = [1/√6,   1/√6, −2/√6 ]  ≈ [0.4082,  0.4082, −0.8165]</w:t>
      </w:r>
    </w:p>
    <w:p>
      <w:r>
        <w:br w:type="page"/>
      </w:r>
    </w:p>
    <w:p>
      <w:pPr>
        <w:pStyle w:val="Heading2"/>
      </w:pPr>
      <w:r>
        <w:rPr>
          <w:rFonts w:ascii="Arial" w:cs="Arial" w:eastAsia="Arial" w:hAnsi="Arial"/>
          <w:b/>
          <w:bCs/>
          <w:color w:val="1E2761"/>
        </w:rPr>
        <w:t xml:space="preserve">2.5 Verification (P06)</w:t>
      </w:r>
    </w:p>
    <w:p>
      <w:pPr>
        <w:spacing w:after="80" w:before="80"/>
        <w:jc w:val="left"/>
      </w:pPr>
      <w:r>
        <w:rPr>
          <w:rFonts w:ascii="Arial" w:cs="Arial" w:eastAsia="Arial" w:hAnsi="Arial"/>
          <w:color w:val="000000"/>
          <w:sz w:val="22"/>
          <w:szCs w:val="22"/>
        </w:rPr>
        <w:t xml:space="preserve">The Helmert basis was verified to machine precision across D = 3, 4,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Property</w:t>
            </w:r>
          </w:p>
        </w:tc>
        <w:tc>
          <w:tcPr>
            <w:tcW w:type="dxa" w:w="208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 = 3</w:t>
            </w:r>
          </w:p>
        </w:tc>
        <w:tc>
          <w:tcPr>
            <w:tcW w:type="dxa" w:w="208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 = 4</w:t>
            </w:r>
          </w:p>
        </w:tc>
        <w:tc>
          <w:tcPr>
            <w:tcW w:type="dxa" w:w="208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 = 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Orthonormality error</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2.22e−16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2.22e−16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2.22e−16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Zero-sum residual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1.11e−16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1.11e−16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CLR roundtrip error</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1.67e−16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1.94e−16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1.11e−16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Norm preservation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0.00</w:t>
            </w:r>
          </w:p>
        </w:tc>
      </w:tr>
    </w:tbl>
    <w:p>
      <w:pPr>
        <w:spacing w:after="80" w:before="80"/>
        <w:jc w:val="left"/>
      </w:pPr>
      <w:r>
        <w:rPr>
          <w:rFonts w:ascii="Arial" w:cs="Arial" w:eastAsia="Arial" w:hAnsi="Arial"/>
          <w:color w:val="000000"/>
          <w:sz w:val="22"/>
          <w:szCs w:val="22"/>
        </w:rPr>
        <w:t xml:space="preserve">All properties hold to machine epsilon. The corrected circle h(θ) = r(cosθ · e₁ + sinθ · e₂) has exactly constant norm ||h|| = r for all θ.</w:t>
      </w:r>
    </w:p>
    <w:p>
      <w:pPr>
        <w:pStyle w:val="Heading1"/>
      </w:pPr>
      <w:r>
        <w:rPr>
          <w:rFonts w:ascii="Arial" w:cs="Arial" w:eastAsia="Arial" w:hAnsi="Arial"/>
          <w:b/>
          <w:bCs/>
          <w:color w:val="1E2761"/>
        </w:rPr>
        <w:t xml:space="preserve">3. CNT Tensor Definitions</w:t>
      </w:r>
    </w:p>
    <w:p>
      <w:pPr>
        <w:spacing w:after="80" w:before="80"/>
        <w:jc w:val="left"/>
      </w:pPr>
      <w:r>
        <w:rPr>
          <w:rFonts w:ascii="Arial" w:cs="Arial" w:eastAsia="Arial" w:hAnsi="Arial"/>
          <w:color w:val="000000"/>
          <w:sz w:val="22"/>
          <w:szCs w:val="22"/>
        </w:rPr>
        <w:t xml:space="preserve">The Compositional Navigation Tensor decomposes compositional motion into four channels. Each is a deterministic, closed-form, parameter-free function of the composition.</w:t>
      </w:r>
    </w:p>
    <w:p>
      <w:pPr>
        <w:spacing w:after="40" w:before="40"/>
        <w:ind w:left="720"/>
      </w:pPr>
      <w:r>
        <w:rPr>
          <w:rFonts w:ascii="Consolas" w:cs="Consolas" w:eastAsia="Consolas" w:hAnsi="Consolas"/>
          <w:color w:val="3B5998"/>
          <w:sz w:val="20"/>
          <w:szCs w:val="20"/>
        </w:rPr>
        <w:t xml:space="preserve">CNT(x) = (θ, ω, κ, σ)</w:t>
      </w:r>
    </w:p>
    <w:p>
      <w:pPr>
        <w:pStyle w:val="Heading2"/>
      </w:pPr>
      <w:r>
        <w:rPr>
          <w:rFonts w:ascii="Arial" w:cs="Arial" w:eastAsia="Arial" w:hAnsi="Arial"/>
          <w:b/>
          <w:bCs/>
          <w:color w:val="1E2761"/>
        </w:rPr>
        <w:t xml:space="preserve">3.1 Definition 1: Bearing Tensor θ</w:t>
      </w:r>
    </w:p>
    <w:p>
      <w:pPr>
        <w:spacing w:after="80" w:before="80"/>
        <w:jc w:val="left"/>
      </w:pPr>
      <w:r>
        <w:rPr>
          <w:rFonts w:ascii="Arial" w:cs="Arial" w:eastAsia="Arial" w:hAnsi="Arial"/>
          <w:color w:val="000000"/>
          <w:sz w:val="22"/>
          <w:szCs w:val="22"/>
        </w:rPr>
        <w:t xml:space="preserve">For a composition x with CLR transform h = clr(x), the pairwise bearing between carriers i and j is:</w:t>
      </w:r>
    </w:p>
    <w:p>
      <w:pPr>
        <w:spacing w:after="40" w:before="40"/>
        <w:ind w:left="720"/>
      </w:pPr>
      <w:r>
        <w:rPr>
          <w:rFonts w:ascii="Consolas" w:cs="Consolas" w:eastAsia="Consolas" w:hAnsi="Consolas"/>
          <w:color w:val="3B5998"/>
          <w:sz w:val="20"/>
          <w:szCs w:val="20"/>
        </w:rPr>
        <w:t xml:space="preserve">θ_{ij}(x) = atan2(h_j, h_i)</w:t>
      </w:r>
    </w:p>
    <w:p>
      <w:pPr>
        <w:spacing w:after="80" w:before="80"/>
        <w:jc w:val="left"/>
      </w:pPr>
      <w:r>
        <w:rPr>
          <w:rFonts w:ascii="Arial" w:cs="Arial" w:eastAsia="Arial" w:hAnsi="Arial"/>
          <w:color w:val="000000"/>
          <w:sz w:val="22"/>
          <w:szCs w:val="22"/>
        </w:rPr>
        <w:t xml:space="preserve">The full bearing tensor collects all D(D−1)/2 pairwise bearings. Each bearing is the angle from carrier i toward carrier j in the CLR plane spanned by dimensions i and j. The atan2 function is well-conditioned everywhere (no singularity at the origin), so bearing computation operates at machine precision unconditionally.</w:t>
      </w:r>
    </w:p>
    <w:p>
      <w:pPr>
        <w:pStyle w:val="Heading2"/>
      </w:pPr>
      <w:r>
        <w:rPr>
          <w:rFonts w:ascii="Arial" w:cs="Arial" w:eastAsia="Arial" w:hAnsi="Arial"/>
          <w:b/>
          <w:bCs/>
          <w:color w:val="1E2761"/>
        </w:rPr>
        <w:t xml:space="preserve">3.2 Definition 2: Angular Velocity ω</w:t>
      </w:r>
    </w:p>
    <w:p>
      <w:pPr>
        <w:spacing w:after="80" w:before="80"/>
        <w:jc w:val="left"/>
      </w:pPr>
      <w:r>
        <w:rPr>
          <w:rFonts w:ascii="Arial" w:cs="Arial" w:eastAsia="Arial" w:hAnsi="Arial"/>
          <w:color w:val="000000"/>
          <w:sz w:val="22"/>
          <w:szCs w:val="22"/>
        </w:rPr>
        <w:t xml:space="preserve">For consecutive compositions x(t) and x(t+1) with CLR transforms h(t) and h(t+1), the angular velocity is the angle between the two CLR direction vectors:</w:t>
      </w:r>
    </w:p>
    <w:p>
      <w:pPr>
        <w:spacing w:after="40" w:before="40"/>
        <w:ind w:left="720"/>
      </w:pPr>
      <w:r>
        <w:rPr>
          <w:rFonts w:ascii="Consolas" w:cs="Consolas" w:eastAsia="Consolas" w:hAnsi="Consolas"/>
          <w:color w:val="3B5998"/>
          <w:sz w:val="20"/>
          <w:szCs w:val="20"/>
        </w:rPr>
        <w:t xml:space="preserve">ω(t, t+1) = atan2(||h(t) × h(t+1)||,  ⟨h(t), h(t+1)⟩)</w:t>
      </w:r>
    </w:p>
    <w:p>
      <w:pPr>
        <w:spacing w:after="80" w:before="80"/>
        <w:jc w:val="left"/>
      </w:pPr>
      <w:r>
        <w:rPr>
          <w:rFonts w:ascii="Arial" w:cs="Arial" w:eastAsia="Arial" w:hAnsi="Arial"/>
          <w:color w:val="000000"/>
          <w:sz w:val="22"/>
          <w:szCs w:val="22"/>
        </w:rPr>
        <w:t xml:space="preserve">where the cross product magnitude is computed via the Lagrange identity:</w:t>
      </w:r>
    </w:p>
    <w:p>
      <w:pPr>
        <w:spacing w:after="40" w:before="40"/>
        <w:ind w:left="720"/>
      </w:pPr>
      <w:r>
        <w:rPr>
          <w:rFonts w:ascii="Consolas" w:cs="Consolas" w:eastAsia="Consolas" w:hAnsi="Consolas"/>
          <w:color w:val="3B5998"/>
          <w:sz w:val="20"/>
          <w:szCs w:val="20"/>
        </w:rPr>
        <w:t xml:space="preserve">||h₁ × h₂||² = ||h₁||² · ||h₂||² − ⟨h₁, h₂⟩²</w:t>
      </w:r>
    </w:p>
    <w:p>
      <w:pPr>
        <w:spacing w:after="80" w:before="80"/>
        <w:jc w:val="left"/>
      </w:pPr>
      <w:r>
        <w:rPr>
          <w:rFonts w:ascii="Arial" w:cs="Arial" w:eastAsia="Arial" w:hAnsi="Arial"/>
          <w:color w:val="000000"/>
          <w:sz w:val="22"/>
          <w:szCs w:val="22"/>
        </w:rPr>
        <w:t xml:space="preserve">This identity generalises the cross product magnitude to arbitrary dimension D. The atan2 form replaces the original arccos formulation, which loses up to 8 digits of precision near 0° and 180° (see Chapter 5, Experiment P03). Both formulations are mathematically equivalent; the atan2 form is numerically superior.</w:t>
      </w:r>
    </w:p>
    <w:p>
      <w:pPr>
        <w:pStyle w:val="Heading2"/>
      </w:pPr>
      <w:r>
        <w:rPr>
          <w:rFonts w:ascii="Arial" w:cs="Arial" w:eastAsia="Arial" w:hAnsi="Arial"/>
          <w:b/>
          <w:bCs/>
          <w:color w:val="1E2761"/>
        </w:rPr>
        <w:t xml:space="preserve">3.3 Definition 3: Steering Sensitivity Tensor κ</w:t>
      </w:r>
    </w:p>
    <w:p>
      <w:pPr>
        <w:spacing w:after="80" w:before="80"/>
        <w:jc w:val="left"/>
      </w:pPr>
      <w:r>
        <w:rPr>
          <w:rFonts w:ascii="Arial" w:cs="Arial" w:eastAsia="Arial" w:hAnsi="Arial"/>
          <w:color w:val="000000"/>
          <w:sz w:val="22"/>
          <w:szCs w:val="22"/>
        </w:rPr>
        <w:t xml:space="preserve">The diagonal Aitchison metric tensor on the simplex:</w:t>
      </w:r>
    </w:p>
    <w:p>
      <w:pPr>
        <w:spacing w:after="40" w:before="40"/>
        <w:ind w:left="720"/>
      </w:pPr>
      <w:r>
        <w:rPr>
          <w:rFonts w:ascii="Consolas" w:cs="Consolas" w:eastAsia="Consolas" w:hAnsi="Consolas"/>
          <w:color w:val="3B5998"/>
          <w:sz w:val="20"/>
          <w:szCs w:val="20"/>
        </w:rPr>
        <w:t xml:space="preserve">κ_{jj}(x) = g_{jj} = 1 / x_j</w:t>
      </w:r>
    </w:p>
    <w:p>
      <w:pPr>
        <w:spacing w:after="80" w:before="80"/>
        <w:jc w:val="left"/>
      </w:pPr>
      <w:r>
        <w:rPr>
          <w:rFonts w:ascii="Arial" w:cs="Arial" w:eastAsia="Arial" w:hAnsi="Arial"/>
          <w:color w:val="000000"/>
          <w:sz w:val="22"/>
          <w:szCs w:val="22"/>
        </w:rPr>
        <w:t xml:space="preserve">Carrier j with fraction x_j has sensitivity 1/x_j. As x_j → 0, sensitivity diverges: infinite steering authority at the simplex boundary. This is the mechanism behind Corollary 5 (Infinite Helm).</w:t>
      </w:r>
    </w:p>
    <w:p>
      <w:pPr>
        <w:pStyle w:val="Heading2"/>
      </w:pPr>
      <w:r>
        <w:rPr>
          <w:rFonts w:ascii="Arial" w:cs="Arial" w:eastAsia="Arial" w:hAnsi="Arial"/>
          <w:b/>
          <w:bCs/>
          <w:color w:val="1E2761"/>
        </w:rPr>
        <w:t xml:space="preserve">3.4 Definition 4: Helmsman Index σ</w:t>
      </w:r>
    </w:p>
    <w:p>
      <w:pPr>
        <w:spacing w:after="80" w:before="80"/>
        <w:jc w:val="left"/>
      </w:pPr>
      <w:r>
        <w:rPr>
          <w:rFonts w:ascii="Arial" w:cs="Arial" w:eastAsia="Arial" w:hAnsi="Arial"/>
          <w:color w:val="000000"/>
          <w:sz w:val="22"/>
          <w:szCs w:val="22"/>
        </w:rPr>
        <w:t xml:space="preserve">Between consecutive compositions x(t) and x(t+1), the helmsman is the carrier with maximum CLR displacement:</w:t>
      </w:r>
    </w:p>
    <w:p>
      <w:pPr>
        <w:spacing w:after="40" w:before="40"/>
        <w:ind w:left="720"/>
      </w:pPr>
      <w:r>
        <w:rPr>
          <w:rFonts w:ascii="Consolas" w:cs="Consolas" w:eastAsia="Consolas" w:hAnsi="Consolas"/>
          <w:color w:val="3B5998"/>
          <w:sz w:val="20"/>
          <w:szCs w:val="20"/>
        </w:rPr>
        <w:t xml:space="preserve">σ(t, t+1) = argmax_j |h_j(t+1) − h_j(t)|</w:t>
      </w:r>
    </w:p>
    <w:p>
      <w:pPr>
        <w:spacing w:after="80" w:before="80"/>
        <w:jc w:val="left"/>
      </w:pPr>
      <w:r>
        <w:rPr>
          <w:rFonts w:ascii="Arial" w:cs="Arial" w:eastAsia="Arial" w:hAnsi="Arial"/>
          <w:color w:val="000000"/>
          <w:sz w:val="22"/>
          <w:szCs w:val="22"/>
        </w:rPr>
        <w:t xml:space="preserve">The helmsman is a discrete quantity (an index into the carrier set). The argmax operation is exact — no floating-point precision issue can affect it unless two carriers have identical |displacement|, which is a measure-zero event.</w:t>
      </w:r>
    </w:p>
    <w:p>
      <w:r>
        <w:br w:type="page"/>
      </w:r>
    </w:p>
    <w:p>
      <w:r>
        <w:br w:type="page"/>
      </w:r>
    </w:p>
    <w:p>
      <w:pPr>
        <w:pStyle w:val="Heading1"/>
      </w:pPr>
      <w:r>
        <w:rPr>
          <w:rFonts w:ascii="Arial" w:cs="Arial" w:eastAsia="Arial" w:hAnsi="Arial"/>
          <w:b/>
          <w:bCs/>
          <w:color w:val="1E2761"/>
        </w:rPr>
        <w:t xml:space="preserve">4. Corollaries</w:t>
      </w:r>
    </w:p>
    <w:p>
      <w:pPr>
        <w:pStyle w:val="Heading2"/>
      </w:pPr>
      <w:r>
        <w:rPr>
          <w:rFonts w:ascii="Arial" w:cs="Arial" w:eastAsia="Arial" w:hAnsi="Arial"/>
          <w:b/>
          <w:bCs/>
          <w:color w:val="1E2761"/>
        </w:rPr>
        <w:t xml:space="preserve">4.1 Bearing Determinism (Corollary 1)</w:t>
      </w:r>
    </w:p>
    <w:p>
      <w:pPr>
        <w:spacing w:after="80" w:before="80"/>
        <w:jc w:val="left"/>
      </w:pPr>
      <w:r>
        <w:rPr>
          <w:rFonts w:ascii="Arial" w:cs="Arial" w:eastAsia="Arial" w:hAnsi="Arial"/>
          <w:color w:val="000000"/>
          <w:sz w:val="22"/>
          <w:szCs w:val="22"/>
        </w:rPr>
        <w:t xml:space="preserve">The bearing θ_{ij} is a deterministic, closed-form function of the composition. Same composition, same bearing. No parameters, no fitting, no model selection. Verified by calibration test T07 (permutation symmetry).</w:t>
      </w:r>
    </w:p>
    <w:p>
      <w:pPr>
        <w:pStyle w:val="Heading2"/>
      </w:pPr>
      <w:r>
        <w:rPr>
          <w:rFonts w:ascii="Arial" w:cs="Arial" w:eastAsia="Arial" w:hAnsi="Arial"/>
          <w:b/>
          <w:bCs/>
          <w:color w:val="1E2761"/>
        </w:rPr>
        <w:t xml:space="preserve">4.2 Steering Asymmetry (Corollary 2)</w:t>
      </w:r>
    </w:p>
    <w:p>
      <w:pPr>
        <w:spacing w:after="80" w:before="80"/>
        <w:jc w:val="left"/>
      </w:pPr>
      <w:r>
        <w:rPr>
          <w:rFonts w:ascii="Arial" w:cs="Arial" w:eastAsia="Arial" w:hAnsi="Arial"/>
          <w:color w:val="000000"/>
          <w:sz w:val="22"/>
          <w:szCs w:val="22"/>
        </w:rPr>
        <w:t xml:space="preserve">For any composition x with max(x)/min(x) = R, the ratio of maximum to minimum steering sensitivity is R. The rarest carrier has R times the steering authority of the most abundant carrier. Verified by T08 (trace identity).</w:t>
      </w:r>
    </w:p>
    <w:p>
      <w:pPr>
        <w:pStyle w:val="Heading2"/>
      </w:pPr>
      <w:r>
        <w:rPr>
          <w:rFonts w:ascii="Arial" w:cs="Arial" w:eastAsia="Arial" w:hAnsi="Arial"/>
          <w:b/>
          <w:bCs/>
          <w:color w:val="1E2761"/>
        </w:rPr>
        <w:t xml:space="preserve">4.3 Lock Detection (Corollary 3)</w:t>
      </w:r>
    </w:p>
    <w:p>
      <w:pPr>
        <w:spacing w:after="80" w:before="80"/>
        <w:jc w:val="left"/>
      </w:pPr>
      <w:r>
        <w:rPr>
          <w:rFonts w:ascii="Arial" w:cs="Arial" w:eastAsia="Arial" w:hAnsi="Arial"/>
          <w:color w:val="000000"/>
          <w:sz w:val="22"/>
          <w:szCs w:val="22"/>
        </w:rPr>
        <w:t xml:space="preserve">Two carriers (i, j) are informationally locked when their pairwise bearing θ_{ij} varies less than ε across T observations:</w:t>
      </w:r>
    </w:p>
    <w:p>
      <w:pPr>
        <w:spacing w:after="40" w:before="40"/>
        <w:ind w:left="720"/>
      </w:pPr>
      <w:r>
        <w:rPr>
          <w:rFonts w:ascii="Consolas" w:cs="Consolas" w:eastAsia="Consolas" w:hAnsi="Consolas"/>
          <w:color w:val="3B5998"/>
          <w:sz w:val="20"/>
          <w:szCs w:val="20"/>
        </w:rPr>
        <w:t xml:space="preserve">max_t(θ_{ij}(t)) − min_t(θ_{ij}(t)) &lt; ε</w:t>
      </w:r>
    </w:p>
    <w:p>
      <w:pPr>
        <w:spacing w:after="80" w:before="80"/>
        <w:jc w:val="left"/>
      </w:pPr>
      <w:r>
        <w:rPr>
          <w:rFonts w:ascii="Arial" w:cs="Arial" w:eastAsia="Arial" w:hAnsi="Arial"/>
          <w:color w:val="000000"/>
          <w:sz w:val="22"/>
          <w:szCs w:val="22"/>
        </w:rPr>
        <w:t xml:space="preserve">Locked carriers move as a single compositional mode. Their ratio is approximately constant regardless of absolute magnitude changes. Verified by T05 (lock detection). Empirically confirmed on Japan EMBER data: Coal-Gas lock at 8.4° bearing spread.</w:t>
      </w:r>
    </w:p>
    <w:p>
      <w:pPr>
        <w:pStyle w:val="Heading2"/>
      </w:pPr>
      <w:r>
        <w:rPr>
          <w:rFonts w:ascii="Arial" w:cs="Arial" w:eastAsia="Arial" w:hAnsi="Arial"/>
          <w:b/>
          <w:bCs/>
          <w:color w:val="1E2761"/>
        </w:rPr>
        <w:t xml:space="preserve">4.4 Bearing Reversal (Corollary 4)</w:t>
      </w:r>
    </w:p>
    <w:p>
      <w:pPr>
        <w:spacing w:after="80" w:before="80"/>
        <w:jc w:val="left"/>
      </w:pPr>
      <w:r>
        <w:rPr>
          <w:rFonts w:ascii="Arial" w:cs="Arial" w:eastAsia="Arial" w:hAnsi="Arial"/>
          <w:color w:val="000000"/>
          <w:sz w:val="22"/>
          <w:szCs w:val="22"/>
        </w:rPr>
        <w:t xml:space="preserve">A sign change in θ_{ij} from positive to negative (or vice versa) indicates a structural crossover: carrier j transitions from above to below its geometric-mean share relative to carrier i. Verified by T06.</w:t>
      </w:r>
    </w:p>
    <w:p>
      <w:pPr>
        <w:pStyle w:val="Heading2"/>
      </w:pPr>
      <w:r>
        <w:rPr>
          <w:rFonts w:ascii="Arial" w:cs="Arial" w:eastAsia="Arial" w:hAnsi="Arial"/>
          <w:b/>
          <w:bCs/>
          <w:color w:val="1E2761"/>
        </w:rPr>
        <w:t xml:space="preserve">4.5 Infinite Helm (Corollary 5)</w:t>
      </w:r>
    </w:p>
    <w:p>
      <w:pPr>
        <w:spacing w:after="80" w:before="80"/>
        <w:jc w:val="left"/>
      </w:pPr>
      <w:r>
        <w:rPr>
          <w:rFonts w:ascii="Arial" w:cs="Arial" w:eastAsia="Arial" w:hAnsi="Arial"/>
          <w:color w:val="000000"/>
          <w:sz w:val="22"/>
          <w:szCs w:val="22"/>
        </w:rPr>
        <w:t xml:space="preserve">When carrier j approaches zero fraction, g_{jj} → ∞. Any nonzero change in carrier j dominates the angular velocity. A vanishing carrier has infinite steering authority — its disappearance forces the largest compositional rotation. Verified by T04 (divergence detection).</w:t>
      </w:r>
    </w:p>
    <w:p>
      <w:r>
        <w:br w:type="page"/>
      </w:r>
    </w:p>
    <w:p>
      <w:r>
        <w:br w:type="page"/>
      </w:r>
    </w:p>
    <w:p>
      <w:pPr>
        <w:pStyle w:val="Heading1"/>
      </w:pPr>
      <w:r>
        <w:rPr>
          <w:rFonts w:ascii="Arial" w:cs="Arial" w:eastAsia="Arial" w:hAnsi="Arial"/>
          <w:b/>
          <w:bCs/>
          <w:color w:val="1E2761"/>
        </w:rPr>
        <w:t xml:space="preserve">5. Precision Analysis</w:t>
      </w:r>
    </w:p>
    <w:p>
      <w:pPr>
        <w:spacing w:after="80" w:before="80"/>
        <w:jc w:val="left"/>
      </w:pPr>
      <w:r>
        <w:rPr>
          <w:rFonts w:ascii="Arial" w:cs="Arial" w:eastAsia="Arial" w:hAnsi="Arial"/>
          <w:color w:val="000000"/>
          <w:sz w:val="22"/>
          <w:szCs w:val="22"/>
        </w:rPr>
        <w:t xml:space="preserve">Ten precision experiments (P01–P10) were conducted to quantify the numerical limits of every CNT channel. This chapter presents the key results.</w:t>
      </w:r>
    </w:p>
    <w:p>
      <w:pPr>
        <w:pStyle w:val="Heading2"/>
      </w:pPr>
      <w:r>
        <w:rPr>
          <w:rFonts w:ascii="Arial" w:cs="Arial" w:eastAsia="Arial" w:hAnsi="Arial"/>
          <w:b/>
          <w:bCs/>
          <w:color w:val="1E2761"/>
        </w:rPr>
        <w:t xml:space="preserve">5.1 The arccos Instability (P03)</w:t>
      </w:r>
    </w:p>
    <w:p>
      <w:pPr>
        <w:spacing w:after="80" w:before="80"/>
        <w:jc w:val="left"/>
      </w:pPr>
      <w:r>
        <w:rPr>
          <w:rFonts w:ascii="Arial" w:cs="Arial" w:eastAsia="Arial" w:hAnsi="Arial"/>
          <w:color w:val="000000"/>
          <w:sz w:val="22"/>
          <w:szCs w:val="22"/>
        </w:rPr>
        <w:t xml:space="preserve">The original angular velocity formula used arccos:</w:t>
      </w:r>
    </w:p>
    <w:p>
      <w:pPr>
        <w:spacing w:after="40" w:before="40"/>
        <w:ind w:left="720"/>
      </w:pPr>
      <w:r>
        <w:rPr>
          <w:rFonts w:ascii="Consolas" w:cs="Consolas" w:eastAsia="Consolas" w:hAnsi="Consolas"/>
          <w:color w:val="3B5998"/>
          <w:sz w:val="20"/>
          <w:szCs w:val="20"/>
        </w:rPr>
        <w:t xml:space="preserve">ω = arccos(⟨h₁, h₂⟩ / (||h₁|| · ||h₂||))</w:t>
      </w:r>
    </w:p>
    <w:p>
      <w:pPr>
        <w:spacing w:after="80" w:before="80"/>
        <w:jc w:val="left"/>
      </w:pPr>
      <w:r>
        <w:rPr>
          <w:rFonts w:ascii="Arial" w:cs="Arial" w:eastAsia="Arial" w:hAnsi="Arial"/>
          <w:color w:val="000000"/>
          <w:sz w:val="22"/>
          <w:szCs w:val="22"/>
        </w:rPr>
        <w:t xml:space="preserve">The derivative d(arccos)/dx = −1/√(1−x²) diverges at x = ±1, corresponding to angles near 0° and 180°. Experiment P03 measured the actual precision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1 − cos</w:t>
            </w:r>
          </w:p>
        </w:tc>
        <w:tc>
          <w:tcPr>
            <w:tcW w:type="dxa" w:w="23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arccos result</w:t>
            </w:r>
          </w:p>
        </w:tc>
        <w:tc>
          <w:tcPr>
            <w:tcW w:type="dxa" w:w="23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atan2 result</w:t>
            </w:r>
          </w:p>
        </w:tc>
        <w:tc>
          <w:tcPr>
            <w:tcW w:type="dxa" w:w="23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Difference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10⁻⁴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0.81029°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0.81029°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4.5e−14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10⁻⁸</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0.0081029°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0.0081028°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2.0e−11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10⁻¹²</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8.103e−5°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8.103e−5°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9.0e−10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10⁻¹⁶</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8.538e−7°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8.103e−7°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4.4e−8</w:t>
            </w:r>
          </w:p>
        </w:tc>
      </w:tr>
    </w:tbl>
    <w:p>
      <w:pPr>
        <w:spacing w:after="80" w:before="80"/>
        <w:jc w:val="left"/>
      </w:pPr>
      <w:r>
        <w:rPr>
          <w:rFonts w:ascii="Arial" w:cs="Arial" w:eastAsia="Arial" w:hAnsi="Arial"/>
          <w:color w:val="000000"/>
          <w:sz w:val="22"/>
          <w:szCs w:val="22"/>
        </w:rPr>
        <w:t xml:space="preserve">At 1−cos = 10⁻¹⁶, the arccos result is 5% wrong — 8 digits of precision lost. The atan2 form maintains full precision throughout.</w:t>
      </w:r>
    </w:p>
    <w:p>
      <w:pPr>
        <w:pStyle w:val="Heading2"/>
      </w:pPr>
      <w:r>
        <w:rPr>
          <w:rFonts w:ascii="Arial" w:cs="Arial" w:eastAsia="Arial" w:hAnsi="Arial"/>
          <w:b/>
          <w:bCs/>
          <w:color w:val="1E2761"/>
        </w:rPr>
        <w:t xml:space="preserve">5.2 The Lagrange Identity</w:t>
      </w:r>
    </w:p>
    <w:p>
      <w:pPr>
        <w:spacing w:after="80" w:before="80"/>
        <w:jc w:val="left"/>
      </w:pPr>
      <w:r>
        <w:rPr>
          <w:rFonts w:ascii="Arial" w:cs="Arial" w:eastAsia="Arial" w:hAnsi="Arial"/>
          <w:color w:val="000000"/>
          <w:sz w:val="22"/>
          <w:szCs w:val="22"/>
        </w:rPr>
        <w:t xml:space="preserve">The fix uses the Lagrange identity (1773) to compute both sin and cos of the angle:</w:t>
      </w:r>
    </w:p>
    <w:p>
      <w:pPr>
        <w:spacing w:after="40" w:before="40"/>
        <w:ind w:left="720"/>
      </w:pPr>
      <w:r>
        <w:rPr>
          <w:rFonts w:ascii="Consolas" w:cs="Consolas" w:eastAsia="Consolas" w:hAnsi="Consolas"/>
          <w:color w:val="3B5998"/>
          <w:sz w:val="20"/>
          <w:szCs w:val="20"/>
        </w:rPr>
        <w:t xml:space="preserve">||h₁ × h₂||² = ||h₁||² ||h₂||² − ⟨h₁, h₂⟩²</w:t>
      </w:r>
    </w:p>
    <w:p>
      <w:pPr>
        <w:spacing w:after="40" w:before="40"/>
        <w:ind w:left="720"/>
      </w:pPr>
      <w:r>
        <w:rPr>
          <w:rFonts w:ascii="Consolas" w:cs="Consolas" w:eastAsia="Consolas" w:hAnsi="Consolas"/>
          <w:color w:val="3B5998"/>
          <w:sz w:val="20"/>
          <w:szCs w:val="20"/>
        </w:rPr>
        <w:t xml:space="preserve">ω = atan2(√(cross²), dot)</w:t>
      </w:r>
    </w:p>
    <w:p>
      <w:pPr>
        <w:spacing w:after="80" w:before="80"/>
        <w:jc w:val="left"/>
      </w:pPr>
      <w:r>
        <w:rPr>
          <w:rFonts w:ascii="Arial" w:cs="Arial" w:eastAsia="Arial" w:hAnsi="Arial"/>
          <w:color w:val="000000"/>
          <w:sz w:val="22"/>
          <w:szCs w:val="22"/>
        </w:rPr>
        <w:t xml:space="preserve">This identity holds in any dimension D, so it generalises the 3D cross product to arbitrary numbers of carriers. The atan2 function is well-conditioned everywhere on the circle, requiring no clamping or special cases.</w:t>
      </w:r>
    </w:p>
    <w:p>
      <w:pPr>
        <w:pStyle w:val="Heading2"/>
      </w:pPr>
      <w:r>
        <w:rPr>
          <w:rFonts w:ascii="Arial" w:cs="Arial" w:eastAsia="Arial" w:hAnsi="Arial"/>
          <w:b/>
          <w:bCs/>
          <w:color w:val="1E2761"/>
        </w:rPr>
        <w:t xml:space="preserve">5.3 ILR Equivalence (P05)</w:t>
      </w:r>
    </w:p>
    <w:p>
      <w:pPr>
        <w:spacing w:after="80" w:before="80"/>
        <w:jc w:val="left"/>
      </w:pPr>
      <w:r>
        <w:rPr>
          <w:rFonts w:ascii="Arial" w:cs="Arial" w:eastAsia="Arial" w:hAnsi="Arial"/>
          <w:color w:val="000000"/>
          <w:sz w:val="22"/>
          <w:szCs w:val="22"/>
        </w:rPr>
        <w:t xml:space="preserve">The Aitchison isometry theorem guarantees that inner products in CLR space equal inner products in ILR space. Experiment P05 verified this for angular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Dimension D</w:t>
            </w:r>
          </w:p>
        </w:tc>
        <w:tc>
          <w:tcPr>
            <w:tcW w:type="dxa" w:w="468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max |ω_CLR − ω_ILR|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9.83e−13 degrees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5.75e−13 degrees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8.55e−13 degrees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7.30e−13 degrees</w:t>
            </w:r>
          </w:p>
        </w:tc>
      </w:tr>
    </w:tbl>
    <w:p>
      <w:pPr>
        <w:spacing w:after="80" w:before="80"/>
        <w:jc w:val="left"/>
      </w:pPr>
      <w:r>
        <w:rPr>
          <w:rFonts w:ascii="Arial" w:cs="Arial" w:eastAsia="Arial" w:hAnsi="Arial"/>
          <w:color w:val="000000"/>
          <w:sz w:val="22"/>
          <w:szCs w:val="22"/>
        </w:rPr>
        <w:t xml:space="preserve">The isometry is exact. The sub-picoradian residual is floating-point roundoff from the projection. There is no precision gain from switching to ILR for angle computation.</w:t>
      </w:r>
    </w:p>
    <w:p>
      <w:pPr>
        <w:pStyle w:val="Heading2"/>
      </w:pPr>
      <w:r>
        <w:rPr>
          <w:rFonts w:ascii="Arial" w:cs="Arial" w:eastAsia="Arial" w:hAnsi="Arial"/>
          <w:b/>
          <w:bCs/>
          <w:color w:val="1E2761"/>
        </w:rPr>
        <w:t xml:space="preserve">5.4 Condition Number Theory (P07)</w:t>
      </w:r>
    </w:p>
    <w:p>
      <w:pPr>
        <w:spacing w:after="80" w:before="80"/>
        <w:jc w:val="left"/>
      </w:pPr>
      <w:r>
        <w:rPr>
          <w:rFonts w:ascii="Arial" w:cs="Arial" w:eastAsia="Arial" w:hAnsi="Arial"/>
          <w:color w:val="000000"/>
          <w:sz w:val="22"/>
          <w:szCs w:val="22"/>
        </w:rPr>
        <w:t xml:space="preserve">The Aitchison metric tensor is diagonal with g_{jj} = 1/x_j. Its condition number κ = max(x)/min(x) determines how many significant digits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80"/>
        <w:gridCol w:w="2480"/>
      </w:tblGrid>
      <w:tr>
        <w:tc>
          <w:tcPr>
            <w:tcW w:type="dxa" w:w="26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Composition</w:t>
            </w:r>
          </w:p>
        </w:tc>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κ</w:t>
            </w:r>
          </w:p>
        </w:tc>
        <w:tc>
          <w:tcPr>
            <w:tcW w:type="dxa" w:w="248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log₁₀(κ)</w:t>
            </w:r>
          </w:p>
        </w:tc>
        <w:tc>
          <w:tcPr>
            <w:tcW w:type="dxa" w:w="248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Available digits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Uniform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0.0</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Mild skew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4</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0.6</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Severe skew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190</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2.3</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Extreme skew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4,995</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3.7</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Near boundary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3.0e5</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5.5</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At boundary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3.0e10</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10.5</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~5</w:t>
            </w:r>
          </w:p>
        </w:tc>
      </w:tr>
    </w:tbl>
    <w:p>
      <w:pPr>
        <w:spacing w:after="80" w:before="80"/>
        <w:jc w:val="left"/>
      </w:pPr>
      <w:r>
        <w:rPr>
          <w:rFonts w:ascii="Arial" w:cs="Arial" w:eastAsia="Arial" w:hAnsi="Arial"/>
          <w:color w:val="000000"/>
          <w:sz w:val="22"/>
          <w:szCs w:val="22"/>
        </w:rPr>
        <w:t xml:space="preserve">Rule: Available digits ≈ 15 − log₁₀(κ). This is not an engine defect — it is a fundamental property of simplex geometry that Aitchison identified in 1986.</w:t>
      </w:r>
    </w:p>
    <w:p>
      <w:pPr>
        <w:pStyle w:val="Heading2"/>
      </w:pPr>
      <w:r>
        <w:rPr>
          <w:rFonts w:ascii="Arial" w:cs="Arial" w:eastAsia="Arial" w:hAnsi="Arial"/>
          <w:b/>
          <w:bCs/>
          <w:color w:val="1E2761"/>
        </w:rPr>
        <w:t xml:space="preserve">5.5 Extreme Stress Test (P08)</w:t>
      </w:r>
    </w:p>
    <w:p>
      <w:pPr>
        <w:spacing w:after="80" w:before="80"/>
        <w:jc w:val="left"/>
      </w:pPr>
      <w:r>
        <w:rPr>
          <w:rFonts w:ascii="Arial" w:cs="Arial" w:eastAsia="Arial" w:hAnsi="Arial"/>
          <w:color w:val="000000"/>
          <w:sz w:val="22"/>
          <w:szCs w:val="22"/>
        </w:rPr>
        <w:t xml:space="preserve">The engine was tested with x_min = 10^{−k} for k = 1 through 15. All channels remained within tolerance through k = 13 (x_min = 10⁻¹³). At k = 14–15, the engine reaches the IEEE 754 denormal boundary. The engine is stable down to x_j = 10⁻¹⁵.</w:t>
      </w:r>
    </w:p>
    <w:p>
      <w:pPr>
        <w:pStyle w:val="Heading2"/>
      </w:pPr>
      <w:r>
        <w:rPr>
          <w:rFonts w:ascii="Arial" w:cs="Arial" w:eastAsia="Arial" w:hAnsi="Arial"/>
          <w:b/>
          <w:bCs/>
          <w:color w:val="1E2761"/>
        </w:rPr>
        <w:t xml:space="preserve">5.6 Dimensionality Scaling (P09)</w:t>
      </w:r>
    </w:p>
    <w:p>
      <w:pPr>
        <w:spacing w:after="80" w:before="80"/>
        <w:jc w:val="left"/>
      </w:pPr>
      <w:r>
        <w:rPr>
          <w:rFonts w:ascii="Arial" w:cs="Arial" w:eastAsia="Arial" w:hAnsi="Arial"/>
          <w:color w:val="000000"/>
          <w:sz w:val="22"/>
          <w:szCs w:val="22"/>
        </w:rPr>
        <w:t xml:space="preserve">The engine was tested from D = 3 to D = 100. Angular velocity standard deviation remained invariant at 8.81 × 10⁻¹⁴ degrees. Helmert orthogonality held at 2.22 × 10⁻¹⁶ regardless of dimension. CLR zero-sum residual grew to 6.22 × 10⁻¹³ at D = 100 (accumulation of log terms), but remains negligible for any practical purpose.</w:t>
      </w:r>
    </w:p>
    <w:p>
      <w:r>
        <w:br w:type="page"/>
      </w:r>
    </w:p>
    <w:p>
      <w:pPr>
        <w:pStyle w:val="Heading1"/>
      </w:pPr>
      <w:r>
        <w:rPr>
          <w:rFonts w:ascii="Arial" w:cs="Arial" w:eastAsia="Arial" w:hAnsi="Arial"/>
          <w:b/>
          <w:bCs/>
          <w:color w:val="1E2761"/>
        </w:rPr>
        <w:t xml:space="preserve">6. Engine State Machine</w:t>
      </w:r>
    </w:p>
    <w:p>
      <w:pPr>
        <w:spacing w:after="80" w:before="80"/>
        <w:jc w:val="left"/>
      </w:pPr>
      <w:r>
        <w:rPr>
          <w:rFonts w:ascii="Arial" w:cs="Arial" w:eastAsia="Arial" w:hAnsi="Arial"/>
          <w:color w:val="000000"/>
          <w:sz w:val="22"/>
          <w:szCs w:val="22"/>
        </w:rPr>
        <w:t xml:space="preserve">The CNT engine processes compositions through five sequential stages. Each stage is a pure function with a known precision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500"/>
        <w:gridCol w:w="2200"/>
        <w:gridCol w:w="2460"/>
      </w:tblGrid>
      <w:tr>
        <w:tc>
          <w:tcPr>
            <w:tcW w:type="dxa" w:w="6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Precision</w:t>
            </w:r>
          </w:p>
        </w:tc>
        <w:tc>
          <w:tcPr>
            <w:tcW w:type="dxa" w:w="24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Limiting 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CLR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log, mean, subtract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 8ε</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log/subtraction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Bearing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atan2(h_j, h_i)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machine ε</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Ang. velocity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atan2 + Lagrange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machine ε</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None after fix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Sensitivity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1/x_j via softmax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~1.78e−16</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exp/sum roundtrip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Helmsman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argmax |delta 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exact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Discrete operation</w:t>
            </w:r>
          </w:p>
        </w:tc>
      </w:tr>
    </w:tbl>
    <w:p>
      <w:pPr>
        <w:spacing w:after="80" w:before="80"/>
        <w:jc w:val="left"/>
      </w:pPr>
      <w:r>
        <w:rPr>
          <w:rFonts w:ascii="Arial" w:cs="Arial" w:eastAsia="Arial" w:hAnsi="Arial"/>
          <w:color w:val="000000"/>
          <w:sz w:val="22"/>
          <w:szCs w:val="22"/>
        </w:rPr>
        <w:t xml:space="preserve">The processing flow is:</w:t>
      </w:r>
    </w:p>
    <w:p>
      <w:pPr>
        <w:spacing w:after="40" w:before="40"/>
        <w:ind w:left="720"/>
      </w:pPr>
      <w:r>
        <w:rPr>
          <w:rFonts w:ascii="Consolas" w:cs="Consolas" w:eastAsia="Consolas" w:hAnsi="Consolas"/>
          <w:color w:val="3B5998"/>
          <w:sz w:val="20"/>
          <w:szCs w:val="20"/>
        </w:rPr>
        <w:t xml:space="preserve">x(t) → CLR → BEARING → ANGULAR VELOCITY → SENSITIVITY → HELMSMAN → CNT(t)</w:t>
      </w:r>
    </w:p>
    <w:p>
      <w:pPr>
        <w:spacing w:after="40" w:before="40"/>
        <w:ind w:left="720"/>
      </w:pPr>
      <w:r>
        <w:rPr>
          <w:rFonts w:ascii="Consolas" w:cs="Consolas" w:eastAsia="Consolas" w:hAnsi="Consolas"/>
          <w:color w:val="3B5998"/>
          <w:sz w:val="20"/>
          <w:szCs w:val="20"/>
        </w:rPr>
        <w:t xml:space="preserve"/>
      </w:r>
    </w:p>
    <w:p>
      <w:pPr>
        <w:spacing w:after="40" w:before="40"/>
        <w:ind w:left="720"/>
      </w:pPr>
      <w:r>
        <w:rPr>
          <w:rFonts w:ascii="Consolas" w:cs="Consolas" w:eastAsia="Consolas" w:hAnsi="Consolas"/>
          <w:color w:val="3B5998"/>
          <w:sz w:val="20"/>
          <w:szCs w:val="20"/>
        </w:rPr>
        <w:t xml:space="preserve">x(t+1) → CLR ─────────┬───────────────────┘</w:t>
      </w:r>
    </w:p>
    <w:p>
      <w:pPr>
        <w:spacing w:after="40" w:before="40"/>
        <w:ind w:left="720"/>
      </w:pPr>
      <w:r>
        <w:rPr>
          <w:rFonts w:ascii="Consolas" w:cs="Consolas" w:eastAsia="Consolas" w:hAnsi="Consolas"/>
          <w:color w:val="3B5998"/>
          <w:sz w:val="20"/>
          <w:szCs w:val="20"/>
        </w:rPr>
        <w:t xml:space="preserve">                     (two CLR vectors feed angular velocity)</w:t>
      </w:r>
    </w:p>
    <w:p>
      <w:pPr>
        <w:spacing w:after="80" w:before="80"/>
        <w:jc w:val="left"/>
      </w:pPr>
      <w:r>
        <w:rPr>
          <w:rFonts w:ascii="Arial" w:cs="Arial" w:eastAsia="Arial" w:hAnsi="Arial"/>
          <w:color w:val="000000"/>
          <w:sz w:val="22"/>
          <w:szCs w:val="22"/>
        </w:rPr>
        <w:t xml:space="preserve">No state is carried between timesteps except the previous CLR vector h(t), which feeds the angular velocity computation at t+1. The overall engine precision floor is ~2.22 × 10⁻¹⁶ (IEEE 754 double) for well-conditioned compositions.</w:t>
      </w:r>
    </w:p>
    <w:p>
      <w:r>
        <w:br w:type="page"/>
      </w:r>
    </w:p>
    <w:p>
      <w:pPr>
        <w:pStyle w:val="Heading1"/>
      </w:pPr>
      <w:r>
        <w:rPr>
          <w:rFonts w:ascii="Arial" w:cs="Arial" w:eastAsia="Arial" w:hAnsi="Arial"/>
          <w:b/>
          <w:bCs/>
          <w:color w:val="1E2761"/>
        </w:rPr>
        <w:t xml:space="preserve">7. Connection to ILR Theory</w:t>
      </w:r>
    </w:p>
    <w:p>
      <w:pPr>
        <w:pStyle w:val="Heading2"/>
      </w:pPr>
      <w:r>
        <w:rPr>
          <w:rFonts w:ascii="Arial" w:cs="Arial" w:eastAsia="Arial" w:hAnsi="Arial"/>
          <w:b/>
          <w:bCs/>
          <w:color w:val="1E2761"/>
        </w:rPr>
        <w:t xml:space="preserve">7.1 ILR as Non-Redundant Representation</w:t>
      </w:r>
    </w:p>
    <w:p>
      <w:pPr>
        <w:spacing w:after="80" w:before="80"/>
        <w:jc w:val="left"/>
      </w:pPr>
      <w:r>
        <w:rPr>
          <w:rFonts w:ascii="Arial" w:cs="Arial" w:eastAsia="Arial" w:hAnsi="Arial"/>
          <w:color w:val="000000"/>
          <w:sz w:val="22"/>
          <w:szCs w:val="22"/>
        </w:rPr>
        <w:t xml:space="preserve">The CLR representation is redundant: D coordinates with one constraint (Σh_j = 0), leaving D−1 degrees of freedom. The ILR transform (Egozcue et al. 2003) projects CLR to a (D−1)-dimensional vector using the Helmert basis:</w:t>
      </w:r>
    </w:p>
    <w:p>
      <w:pPr>
        <w:spacing w:after="40" w:before="40"/>
        <w:ind w:left="720"/>
      </w:pPr>
      <w:r>
        <w:rPr>
          <w:rFonts w:ascii="Consolas" w:cs="Consolas" w:eastAsia="Consolas" w:hAnsi="Consolas"/>
          <w:color w:val="3B5998"/>
          <w:sz w:val="20"/>
          <w:szCs w:val="20"/>
        </w:rPr>
        <w:t xml:space="preserve">z_k = ⟨h, e_k⟩ = Σ_j h_j · (e_k)_j    for k = 1, ..., D−1</w:t>
      </w:r>
    </w:p>
    <w:p>
      <w:pPr>
        <w:spacing w:after="80" w:before="80"/>
        <w:jc w:val="left"/>
      </w:pPr>
      <w:r>
        <w:rPr>
          <w:rFonts w:ascii="Arial" w:cs="Arial" w:eastAsia="Arial" w:hAnsi="Arial"/>
          <w:color w:val="000000"/>
          <w:sz w:val="22"/>
          <w:szCs w:val="22"/>
        </w:rPr>
        <w:t xml:space="preserve">The inverse is h = Σ z_k · e_k. This is an isometry: ||h||_CLR = ||z||_ILR.</w:t>
      </w:r>
    </w:p>
    <w:p>
      <w:pPr>
        <w:pStyle w:val="Heading2"/>
      </w:pPr>
      <w:r>
        <w:rPr>
          <w:rFonts w:ascii="Arial" w:cs="Arial" w:eastAsia="Arial" w:hAnsi="Arial"/>
          <w:b/>
          <w:bCs/>
          <w:color w:val="1E2761"/>
        </w:rPr>
        <w:t xml:space="preserve">7.2 Implications for CNT</w:t>
      </w:r>
    </w:p>
    <w:p>
      <w:pPr>
        <w:spacing w:after="80" w:before="80"/>
        <w:jc w:val="left"/>
      </w:pPr>
      <w:r>
        <w:rPr>
          <w:rFonts w:ascii="Arial" w:cs="Arial" w:eastAsia="Arial" w:hAnsi="Arial"/>
          <w:color w:val="000000"/>
          <w:sz w:val="22"/>
          <w:szCs w:val="22"/>
        </w:rPr>
        <w:t xml:space="preserve">Since CLR and ILR preserve inner products, all angle-based CNT channels (θ, ω) produce identical results in either representation. The CNT operates natively in CLR for simplicity, but the Helmert basis functions (cnt_helmert_basis, cnt_ilr_project) are available in the engine for interoperability with ILR-based tools.</w:t>
      </w:r>
    </w:p>
    <w:p>
      <w:pPr>
        <w:spacing w:after="80" w:before="80"/>
        <w:jc w:val="left"/>
      </w:pPr>
      <w:r>
        <w:rPr>
          <w:rFonts w:ascii="Arial" w:cs="Arial" w:eastAsia="Arial" w:hAnsi="Arial"/>
          <w:color w:val="000000"/>
          <w:sz w:val="22"/>
          <w:szCs w:val="22"/>
        </w:rPr>
        <w:t xml:space="preserve">The bearing θ uses atan2 on individual CLR components, which requires the full D-dimensional representation. Computing bearing in ILR would require back-projection, adding complexity with no precision benefit.</w:t>
      </w:r>
    </w:p>
    <w:p>
      <w:r>
        <w:br w:type="page"/>
      </w:r>
    </w:p>
    <w:p>
      <w:pPr>
        <w:pStyle w:val="Heading1"/>
      </w:pPr>
      <w:r>
        <w:rPr>
          <w:rFonts w:ascii="Arial" w:cs="Arial" w:eastAsia="Arial" w:hAnsi="Arial"/>
          <w:b/>
          <w:bCs/>
          <w:color w:val="1E2761"/>
        </w:rPr>
        <w:t xml:space="preserve">8. Calibration Suite (HCI-CAL01)</w:t>
      </w:r>
    </w:p>
    <w:p>
      <w:pPr>
        <w:spacing w:after="80" w:before="80"/>
        <w:jc w:val="left"/>
      </w:pPr>
      <w:r>
        <w:rPr>
          <w:rFonts w:ascii="Arial" w:cs="Arial" w:eastAsia="Arial" w:hAnsi="Arial"/>
          <w:color w:val="000000"/>
          <w:sz w:val="22"/>
          <w:szCs w:val="22"/>
        </w:rPr>
        <w:t xml:space="preserve">The engine was calibrated against 10 analytically known test objects. Each test object is a synthetic compositional time series where every CNT output is derivable from first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160"/>
        <w:gridCol w:w="2300"/>
      </w:tblGrid>
      <w:tr>
        <w:tc>
          <w:tcPr>
            <w:tcW w:type="dxa" w:w="7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Test</w:t>
            </w:r>
          </w:p>
        </w:tc>
        <w:tc>
          <w:tcPr>
            <w:tcW w:type="dxa" w:w="3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31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Validates</w:t>
            </w:r>
          </w:p>
        </w:tc>
        <w:tc>
          <w:tcPr>
            <w:tcW w:type="dxa" w:w="23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Result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Identity (static)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ω = 0, constant θ</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Drift (linear ramp)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Monotonic σ, positive ω</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Rotation (constant ω)</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Constant angular velocity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Divergence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Corollary 5 (κ divergence)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Lock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Corollary 3 (lock detection)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Reversal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Corollary 4 (sign change)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Symmetry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Corollary 1 (permutation)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Contraction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Trace identity Tr(κ)</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Decomposition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Sub-composition ω</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T10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Navigation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Full 4-channel readout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bl>
    <w:p>
      <w:pPr>
        <w:spacing w:after="80" w:before="80"/>
        <w:jc w:val="left"/>
      </w:pPr>
      <w:r>
        <w:rPr>
          <w:rFonts w:ascii="Arial" w:cs="Arial" w:eastAsia="Arial" w:hAnsi="Arial"/>
          <w:color w:val="000000"/>
          <w:sz w:val="22"/>
          <w:szCs w:val="22"/>
        </w:rPr>
        <w:t xml:space="preserve">All 10 tests pass. All 5 corollaries independently verified.</w:t>
      </w:r>
    </w:p>
    <w:p>
      <w:r>
        <w:br w:type="page"/>
      </w:r>
    </w:p>
    <w:p>
      <w:pPr>
        <w:pStyle w:val="Heading1"/>
      </w:pPr>
      <w:r>
        <w:rPr>
          <w:rFonts w:ascii="Arial" w:cs="Arial" w:eastAsia="Arial" w:hAnsi="Arial"/>
          <w:b/>
          <w:bCs/>
          <w:color w:val="1E2761"/>
        </w:rPr>
        <w:t xml:space="preserve">9. Precision Experiments Summary (P01–P10)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960"/>
        <w:gridCol w:w="2000"/>
      </w:tblGrid>
      <w:tr>
        <w:tc>
          <w:tcPr>
            <w:tcW w:type="dxa" w:w="6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Exp</w:t>
            </w:r>
          </w:p>
        </w:tc>
        <w:tc>
          <w:tcPr>
            <w:tcW w:type="dxa" w:w="2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Result</w:t>
            </w:r>
          </w:p>
        </w:tc>
        <w:tc>
          <w:tcPr>
            <w:tcW w:type="dxa" w:w="2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CLR zero-sum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max |Σh| = 1.78e−15 = 8ε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Norm variation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Naive: 53.6%, Ortho: 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arccos instability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Up to 4.35e−8° error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CHARACTERIZED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atan2 vs arccos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max diff = 0.00 on T03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ILR vs CLR ω</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max diff &lt; 10⁻¹² deg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Helmert basis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Orthonormal to 2.22e−16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Condition number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digits ≈ 15 − log₁₀(κ)</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CHARACTERIZED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Extreme stress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Stable to x = 10⁻¹⁵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D scaling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ω std invariant to D = 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Full chain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All channels at machine 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PASS</w:t>
            </w:r>
          </w:p>
        </w:tc>
      </w:tr>
    </w:tbl>
    <w:p>
      <w:r>
        <w:br w:type="page"/>
      </w:r>
    </w:p>
    <w:p>
      <w:pPr>
        <w:pStyle w:val="Heading1"/>
      </w:pPr>
      <w:r>
        <w:rPr>
          <w:rFonts w:ascii="Arial" w:cs="Arial" w:eastAsia="Arial" w:hAnsi="Arial"/>
          <w:b/>
          <w:bCs/>
          <w:color w:val="1E2761"/>
        </w:rPr>
        <w:t xml:space="preserve">10. Engine Qualification</w:t>
      </w:r>
    </w:p>
    <w:p>
      <w:pPr>
        <w:pStyle w:val="Heading2"/>
      </w:pPr>
      <w:r>
        <w:rPr>
          <w:rFonts w:ascii="Arial" w:cs="Arial" w:eastAsia="Arial" w:hAnsi="Arial"/>
          <w:b/>
          <w:bCs/>
          <w:color w:val="1E2761"/>
        </w:rPr>
        <w:t xml:space="preserve">10.1 Refinements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Refinement</w:t>
            </w:r>
          </w:p>
        </w:tc>
        <w:tc>
          <w:tcPr>
            <w:tcW w:type="dxa" w:w="624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arccos → atan2</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Eliminates up to 8 digits of precision loss near 0° and 180°. Uses Lagrange identity for arbitrary-D cross product.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Helmert basis functions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cnt_helmert_basis(D) and cnt_ilr_project(h, basis) added for ILR interoperability. Verified to machine ε.</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Condition number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cnt_condition_number(x) = max(x)/min(x). Predicts available precision digits. Metrology function.</w:t>
            </w:r>
          </w:p>
        </w:tc>
      </w:tr>
    </w:tbl>
    <w:p>
      <w:pPr>
        <w:pStyle w:val="Heading2"/>
      </w:pPr>
      <w:r>
        <w:rPr>
          <w:rFonts w:ascii="Arial" w:cs="Arial" w:eastAsia="Arial" w:hAnsi="Arial"/>
          <w:b/>
          <w:bCs/>
          <w:color w:val="1E2761"/>
        </w:rPr>
        <w:t xml:space="preserve">10.2 Qualification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Property</w:t>
            </w:r>
          </w:p>
        </w:tc>
        <w:tc>
          <w:tcPr>
            <w:tcW w:type="dxa" w:w="4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All CNT channels at machine precision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VERIFIED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arccos instability eliminated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VERIFIED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Helmert/ILR interoperability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VERIFIED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Condition number diagnostic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OPERATIONAL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Calibration suite (10 tests)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10/10 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Dimensionality scaling to D = 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VERIFIED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Extreme composition stability to x = 10⁻¹⁵</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VERIFIED</w:t>
            </w:r>
          </w:p>
        </w:tc>
      </w:tr>
    </w:tbl>
    <w:p>
      <w:pPr>
        <w:spacing w:after="80" w:before="80"/>
        <w:jc w:val="left"/>
      </w:pPr>
      <w:r>
        <w:rPr>
          <w:rFonts w:ascii="Arial" w:cs="Arial" w:eastAsia="Arial" w:hAnsi="Arial"/>
          <w:color w:val="000000"/>
          <w:sz w:val="22"/>
          <w:szCs w:val="22"/>
        </w:rPr>
        <w:t xml:space="preserve">The engine operates at the IEEE 754 double precision floor for all well-conditioned compositions. The only remaining limitation is the condition number of the data itself, which is a fundamental property of simplex geometry.</w:t>
      </w:r>
    </w:p>
    <w:p>
      <w:pPr>
        <w:pStyle w:val="Heading2"/>
      </w:pPr>
      <w:r>
        <w:rPr>
          <w:rFonts w:ascii="Arial" w:cs="Arial" w:eastAsia="Arial" w:hAnsi="Arial"/>
          <w:b/>
          <w:bCs/>
          <w:color w:val="1E2761"/>
        </w:rPr>
        <w:t xml:space="preserve">10.3 Can the Engine Be Refined Further?</w:t>
      </w:r>
    </w:p>
    <w:p>
      <w:pPr>
        <w:spacing w:after="80" w:before="80"/>
        <w:jc w:val="left"/>
      </w:pPr>
      <w:r>
        <w:rPr>
          <w:rFonts w:ascii="Arial" w:cs="Arial" w:eastAsia="Arial" w:hAnsi="Arial"/>
          <w:color w:val="000000"/>
          <w:sz w:val="22"/>
          <w:szCs w:val="22"/>
        </w:rPr>
        <w:t xml:space="preserve">No. Every CNT channel has been verified to machine epsilon. The three refinements eliminated every identified source of unnecessary precision loss. The remaining precision boundary is set by the data — specifically, by how close the composition sits to the simplex boundary — and is quantified by the condition number diagnostic.</w:t>
      </w:r>
    </w:p>
    <w:p>
      <w:r>
        <w:br w:type="page"/>
      </w:r>
    </w:p>
    <w:p>
      <w:pPr>
        <w:pStyle w:val="Heading1"/>
      </w:pPr>
      <w:r>
        <w:rPr>
          <w:rFonts w:ascii="Arial" w:cs="Arial" w:eastAsia="Arial" w:hAnsi="Arial"/>
          <w:b/>
          <w:bCs/>
          <w:color w:val="1E2761"/>
        </w:rPr>
        <w:t xml:space="preserve">11. Mathematical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360"/>
        <w:gridCol w:w="340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Year</w:t>
            </w:r>
          </w:p>
        </w:tc>
        <w:tc>
          <w:tcPr>
            <w:tcW w:type="dxa" w:w="3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Contribution</w:t>
            </w:r>
          </w:p>
        </w:tc>
        <w:tc>
          <w:tcPr>
            <w:tcW w:type="dxa" w:w="34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Used in CNT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Lagrange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1773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Identity: ||a×b||² = ||a||²||b||² − (a·b)²</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Angular velocity (atan2 form)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Shannon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1948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Information entropy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Hˢ scalar (parallel branch)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Aitchison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1986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CLR, Aitchison inner product, simplex geometry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Stage 1 (CLR), Stage 4 (metric)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Egozcue et 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2003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ILR, Helmert submatrix, Aitchison isometry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Helmert basis, ILR projection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Higgins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2025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Hˢ = 1 − H/ln(D), ring classification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Framework scalar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Higgins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2026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CNT: bearing, velocity, sensitivity, helmsman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20"/>
                <w:szCs w:val="20"/>
              </w:rPr>
              <w:t xml:space="preserve">All stages</w:t>
            </w:r>
          </w:p>
        </w:tc>
      </w:tr>
    </w:tbl>
    <w:p>
      <w:pPr>
        <w:pBdr>
          <w:bottom w:val="single" w:color="2E75B6" w:sz="4" w:space="1"/>
        </w:pBdr>
        <w:spacing w:after="120" w:before="120"/>
      </w:pPr>
    </w:p>
    <w:p>
      <w:pPr>
        <w:spacing w:before="400"/>
      </w:pPr>
    </w:p>
    <w:p>
      <w:pPr>
        <w:spacing w:after="80" w:before="80"/>
        <w:jc w:val="center"/>
      </w:pPr>
      <w:r>
        <w:rPr>
          <w:rFonts w:ascii="Arial" w:cs="Arial" w:eastAsia="Arial" w:hAnsi="Arial"/>
          <w:i/>
          <w:iCs/>
          <w:color w:val="666666"/>
          <w:sz w:val="22"/>
          <w:szCs w:val="22"/>
        </w:rPr>
        <w:t xml:space="preserve">The instrument reads. The expert decides. The loop stays open.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666666"/>
        <w:sz w:val="18"/>
        <w:szCs w:val="18"/>
      </w:rPr>
      <w:t xml:space="preserve">CNT Engine Mathematics Handbook</w:t>
    </w:r>
    <w:r>
      <w:rPr>
        <w:rFonts w:ascii="Arial" w:cs="Arial" w:eastAsia="Arial" w:hAnsi="Arial"/>
        <w:i/>
        <w:iCs/>
        <w:color w:val="666666"/>
        <w:sz w:val="18"/>
        <w:szCs w:val="18"/>
      </w:rPr>
      <w:t xml:space="preserve">	Higgins Computational Instruments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76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59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2026-05-02T23:19:30.606Z</dcterms:created>
  <dcterms:modified xsi:type="dcterms:W3CDTF">2026-05-02T23:19:30.607Z</dcterms:modified>
</cp:coreProperties>
</file>

<file path=docProps/custom.xml><?xml version="1.0" encoding="utf-8"?>
<Properties xmlns="http://schemas.openxmlformats.org/officeDocument/2006/custom-properties" xmlns:vt="http://schemas.openxmlformats.org/officeDocument/2006/docPropsVTypes"/>
</file>