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sz w:val="52"/>
          <w:szCs w:val="52"/>
        </w:rPr>
        <w:t xml:space="preserve">Compositional Navigation Tensor</w:t>
      </w:r>
    </w:p>
    <w:p>
      <w:pPr>
        <w:spacing w:after="100"/>
        <w:jc w:val="center"/>
      </w:pPr>
      <w:r>
        <w:rPr>
          <w:rFonts w:ascii="Arial" w:cs="Arial" w:eastAsia="Arial" w:hAnsi="Arial"/>
          <w:b/>
          <w:bCs/>
          <w:sz w:val="40"/>
          <w:szCs w:val="40"/>
        </w:rPr>
        <w:t xml:space="preserve">Complete Mathematics Handbook</w:t>
      </w:r>
    </w:p>
    <w:p>
      <w:pPr>
        <w:spacing w:after="60"/>
      </w:pPr>
    </w:p>
    <w:p>
      <w:pPr>
        <w:spacing w:after="60"/>
      </w:pPr>
    </w:p>
    <w:p>
      <w:pPr>
        <w:spacing w:after="100"/>
        <w:jc w:val="center"/>
      </w:pPr>
      <w:r>
        <w:rPr>
          <w:rFonts w:ascii="Arial" w:cs="Arial" w:eastAsia="Arial" w:hAnsi="Arial"/>
          <w:sz w:val="28"/>
          <w:szCs w:val="28"/>
        </w:rPr>
        <w:t xml:space="preserve">Higgins Computational Instruments</w:t>
      </w:r>
    </w:p>
    <w:p>
      <w:pPr>
        <w:spacing w:after="60"/>
      </w:pPr>
    </w:p>
    <w:p>
      <w:pPr>
        <w:spacing w:after="100"/>
        <w:jc w:val="center"/>
      </w:pPr>
      <w:r>
        <w:rPr>
          <w:rFonts w:ascii="Arial" w:cs="Arial" w:eastAsia="Arial" w:hAnsi="Arial"/>
          <w:sz w:val="28"/>
          <w:szCs w:val="28"/>
        </w:rPr>
        <w:t xml:space="preserve">Peter Higgins</w:t>
      </w:r>
    </w:p>
    <w:p>
      <w:pPr>
        <w:spacing w:after="60"/>
      </w:pPr>
    </w:p>
    <w:p>
      <w:pPr>
        <w:spacing w:after="100"/>
        <w:jc w:val="center"/>
      </w:pPr>
      <w:r>
        <w:rPr>
          <w:rFonts w:ascii="Arial" w:cs="Arial" w:eastAsia="Arial" w:hAnsi="Arial"/>
          <w:sz w:val="28"/>
          <w:szCs w:val="28"/>
        </w:rPr>
        <w:t xml:space="preserve">May 2026</w:t>
      </w:r>
    </w:p>
    <w:p>
      <w:pPr>
        <w:spacing w:after="60"/>
      </w:pPr>
    </w:p>
    <w:p>
      <w:pPr>
        <w:spacing w:after="100"/>
        <w:jc w:val="center"/>
      </w:pPr>
      <w:r>
        <w:rPr>
          <w:rFonts w:ascii="Arial" w:cs="Arial" w:eastAsia="Arial" w:hAnsi="Arial"/>
          <w:b/>
          <w:bCs/>
          <w:sz w:val="28"/>
          <w:szCs w:val="28"/>
        </w:rPr>
        <w:t xml:space="preserve">Version 3.2</w:t>
      </w:r>
    </w:p>
    <w:p>
      <w:pPr>
        <w:spacing w:after="60"/>
      </w:pPr>
    </w:p>
    <w:p>
      <w:pPr>
        <w:spacing w:after="60"/>
      </w:pPr>
    </w:p>
    <w:p>
      <w:pPr>
        <w:spacing w:after="60"/>
        <w:jc w:val="center"/>
      </w:pPr>
      <w:r>
        <w:rPr>
          <w:rFonts w:ascii="Arial" w:cs="Arial" w:eastAsia="Arial" w:hAnsi="Arial"/>
          <w:i/>
          <w:iCs/>
          <w:sz w:val="22"/>
          <w:szCs w:val="22"/>
        </w:rPr>
        <w:t xml:space="preserve">Engine Mathematics + Dynamical Systems + Control Theory</w:t>
      </w:r>
    </w:p>
    <w:p>
      <w:pPr>
        <w:spacing w:after="60"/>
        <w:jc w:val="center"/>
      </w:pPr>
      <w:r>
        <w:rPr>
          <w:rFonts w:ascii="Arial" w:cs="Arial" w:eastAsia="Arial" w:hAnsi="Arial"/>
          <w:i/>
          <w:iCs/>
          <w:sz w:val="22"/>
          <w:szCs w:val="22"/>
        </w:rPr>
        <w:t xml:space="preserve">+ Information Theory + Recursive Depth Theory + Impulse Response + Lyapunov Stability</w:t>
      </w:r>
    </w:p>
    <w:p>
      <w:pPr>
        <w:spacing w:after="60"/>
      </w:pPr>
    </w:p>
    <w:p>
      <w:pPr>
        <w:spacing w:after="60"/>
      </w:pPr>
    </w:p>
    <w:p>
      <w:pPr>
        <w:spacing w:after="100"/>
        <w:jc w:val="center"/>
      </w:pPr>
      <w:r>
        <w:rPr>
          <w:rFonts w:ascii="Arial" w:cs="Arial" w:eastAsia="Arial" w:hAnsi="Arial"/>
          <w:sz w:val="22"/>
          <w:szCs w:val="22"/>
        </w:rPr>
        <w:t xml:space="preserve">Engine Qualified to IEEE 754 Double Precision Floor</w:t>
      </w:r>
    </w:p>
    <w:p>
      <w:r>
        <w:br w:type="page"/>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spacing w:after="400" w:before="600"/>
        <w:jc w:val="center"/>
      </w:pPr>
      <w:r>
        <w:rPr>
          <w:rFonts w:ascii="Arial" w:cs="Arial" w:eastAsia="Arial" w:hAnsi="Arial"/>
          <w:b/>
          <w:bCs/>
          <w:sz w:val="36"/>
          <w:szCs w:val="36"/>
        </w:rPr>
        <w:t xml:space="preserve">Part I: Engine Mathematics</w:t>
      </w:r>
    </w:p>
    <w:p>
      <w:pPr>
        <w:pStyle w:val="Heading1"/>
      </w:pPr>
      <w:r>
        <w:rPr>
          <w:rFonts w:ascii="Arial" w:cs="Arial" w:eastAsia="Arial" w:hAnsi="Arial"/>
          <w:b/>
          <w:bCs/>
          <w:sz w:val="32"/>
          <w:szCs w:val="32"/>
        </w:rPr>
        <w:t xml:space="preserve">Chapter 1: Introduction</w:t>
      </w:r>
    </w:p>
    <w:p>
      <w:pPr>
        <w:spacing w:after="120"/>
      </w:pPr>
      <w:r>
        <w:rPr>
          <w:rFonts w:ascii="Arial" w:cs="Arial" w:eastAsia="Arial" w:hAnsi="Arial"/>
          <w:sz w:val="24"/>
          <w:szCs w:val="24"/>
        </w:rPr>
        <w:t xml:space="preserve">This handbook provides the complete mathematical specification of the Compositional Navigation Tensor (CNT), the core measurement engine of the Higgins Computational Instruments (HCI) framework. The CNT transforms compositional time series data into a tensor field that captures bearing, angular velocity, metric curvature, and helmsman identity at every time step.</w:t>
      </w:r>
    </w:p>
    <w:p>
      <w:pPr>
        <w:spacing w:after="120"/>
      </w:pPr>
      <w:r>
        <w:rPr>
          <w:rFonts w:ascii="Arial" w:cs="Arial" w:eastAsia="Arial" w:hAnsi="Arial"/>
          <w:sz w:val="24"/>
          <w:szCs w:val="24"/>
        </w:rPr>
        <w:t xml:space="preserve">The handbook is organised in five parts:</w:t>
      </w:r>
    </w:p>
    <w:p>
      <w:pPr>
        <w:spacing w:after="120"/>
        <w:ind w:left="720"/>
      </w:pPr>
      <w:r>
        <w:rPr>
          <w:rFonts w:ascii="Arial" w:cs="Arial" w:eastAsia="Arial" w:hAnsi="Arial"/>
          <w:sz w:val="24"/>
          <w:szCs w:val="24"/>
        </w:rPr>
        <w:t xml:space="preserve">Part I (Chapters 1-7): Engine mathematics. The CLR transform, tensor definitions, corollaries, distance metrics, precision analysis, and engine qualification.</w:t>
      </w:r>
    </w:p>
    <w:p>
      <w:pPr>
        <w:spacing w:after="120"/>
        <w:ind w:left="720"/>
      </w:pPr>
      <w:r>
        <w:rPr>
          <w:rFonts w:ascii="Arial" w:cs="Arial" w:eastAsia="Arial" w:hAnsi="Arial"/>
          <w:sz w:val="24"/>
          <w:szCs w:val="24"/>
        </w:rPr>
        <w:t xml:space="preserve">Part II (Chapters 8-10): Analysis pipeline. The three-stage processing chain from section engine through metric cross-examination to higher-degree structural analysis.</w:t>
      </w:r>
    </w:p>
    <w:p>
      <w:pPr>
        <w:spacing w:after="120"/>
        <w:ind w:left="720"/>
      </w:pPr>
      <w:r>
        <w:rPr>
          <w:rFonts w:ascii="Arial" w:cs="Arial" w:eastAsia="Arial" w:hAnsi="Arial"/>
          <w:sz w:val="24"/>
          <w:szCs w:val="24"/>
        </w:rPr>
        <w:t xml:space="preserve">Part III (Chapters 11-13): Theoretical connections. Links to dynamical systems theory, control theory, and information theory.</w:t>
      </w:r>
    </w:p>
    <w:p>
      <w:pPr>
        <w:spacing w:after="120"/>
        <w:ind w:left="720"/>
      </w:pPr>
      <w:r>
        <w:rPr>
          <w:rFonts w:ascii="Arial" w:cs="Arial" w:eastAsia="Arial" w:hAnsi="Arial"/>
          <w:sz w:val="24"/>
          <w:szCs w:val="24"/>
        </w:rPr>
        <w:t xml:space="preserve">Part IV (Chapters 14-16): Instrument specification. The HLR unit family, system course plot, and compositional bearing scope.</w:t>
      </w:r>
    </w:p>
    <w:p>
      <w:pPr>
        <w:spacing w:after="120"/>
        <w:ind w:left="720"/>
      </w:pPr>
      <w:r>
        <w:rPr>
          <w:rFonts w:ascii="Arial" w:cs="Arial" w:eastAsia="Arial" w:hAnsi="Arial"/>
          <w:sz w:val="24"/>
          <w:szCs w:val="24"/>
        </w:rPr>
        <w:t xml:space="preserve">Part V (Chapters 17-24): Mathematical lineage, recursive depth theory, key discoveries, impulse response theory, and Lyapunov stability. Chapters 18-21 cover metric dual involution, recursive depth theory, convergence theory, and the completeness theorem. Chapter 22 presents the six key findings. Chapter 23 develops impulse response theory. Chapter 24 proves Lyapunov stability.</w:t>
      </w:r>
    </w:p>
    <w:p>
      <w:pPr>
        <w:pStyle w:val="Heading2"/>
      </w:pPr>
      <w:r>
        <w:rPr>
          <w:rFonts w:ascii="Arial" w:cs="Arial" w:eastAsia="Arial" w:hAnsi="Arial"/>
          <w:b/>
          <w:bCs/>
          <w:sz w:val="28"/>
          <w:szCs w:val="28"/>
        </w:rPr>
        <w:t xml:space="preserve">1.1 Scope</w:t>
      </w:r>
    </w:p>
    <w:p>
      <w:pPr>
        <w:spacing w:after="120"/>
      </w:pPr>
      <w:r>
        <w:rPr>
          <w:rFonts w:ascii="Arial" w:cs="Arial" w:eastAsia="Arial" w:hAnsi="Arial"/>
          <w:sz w:val="24"/>
          <w:szCs w:val="24"/>
        </w:rPr>
        <w:t xml:space="preserve">Version 3.2 extends the handbook to 24 chapters. Chapters 1-17 remain unchanged from v2.0. Chapters 18-21 document discoveries from the recursive depth sounder: the metric dual involution, the jet bundle tower construction, convergence theory, and the completeness theorem. Chapter 22 presents the six key findings. Chapters 23-24 develop the impulse response interpretation and prove Lyapunov stability of the period-2 attractor across all tested domains.</w:t>
      </w:r>
    </w:p>
    <w:p>
      <w:pPr>
        <w:pStyle w:val="Heading2"/>
      </w:pPr>
      <w:r>
        <w:rPr>
          <w:rFonts w:ascii="Arial" w:cs="Arial" w:eastAsia="Arial" w:hAnsi="Arial"/>
          <w:b/>
          <w:bCs/>
          <w:sz w:val="28"/>
          <w:szCs w:val="28"/>
        </w:rPr>
        <w:t xml:space="preserve">1.2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Symbol</w:t>
            </w:r>
          </w:p>
        </w:tc>
        <w:tc>
          <w:tcPr>
            <w:tcW w:type="dxa" w:w="5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Definition</w:t>
            </w:r>
          </w:p>
        </w:tc>
        <w:tc>
          <w:tcPr>
            <w:tcW w:type="dxa" w:w="2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Domain</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x</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Composition vector</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S^D (simplex)</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Number of components (carriers)</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Positive integer</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 = clr(x)</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Centred log-ratio transform of x</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R^D, sum = 0</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θ</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tensor</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(-π, π]</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ω</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Angular velocity</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 π]</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κ_HS</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Higgins Steering Metric Tensor</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PSD matrix</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σ</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Helmsman index (DCDI)</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 ..., 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ε</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Machine epsilon</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2.22e-16</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e_k</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Helmert submatrix basis vectors</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HLR</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Higgins Log-Ratio unit</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dimensionless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d_A</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Aitchison distance</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 &gt;= 0</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Centering matrix I - (1/D)J</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 x 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M(x)</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dual map (NEW v3.0)</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S^D</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J^k</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Jet bundle level k (NEW v3.0)</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Bundle tower</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δ_k</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Dynamical depth (NEW v3.0)</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Non-negative integer</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ρ_k</w:t>
            </w:r>
          </w:p>
        </w:tc>
        <w:tc>
          <w:tcPr>
            <w:tcW w:type="dxa" w:w="5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Convergence residual (NEW v3.0)</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 &gt;= 0</w:t>
            </w:r>
          </w:p>
        </w:tc>
      </w:tr>
    </w:tbl>
    <w:p>
      <w:r>
        <w:br w:type="page"/>
      </w:r>
    </w:p>
    <w:p>
      <w:pPr>
        <w:pStyle w:val="Heading1"/>
      </w:pPr>
      <w:r>
        <w:rPr>
          <w:rFonts w:ascii="Arial" w:cs="Arial" w:eastAsia="Arial" w:hAnsi="Arial"/>
          <w:b/>
          <w:bCs/>
          <w:sz w:val="32"/>
          <w:szCs w:val="32"/>
        </w:rPr>
        <w:t xml:space="preserve">Chapter 2: CLR Geometry and the Zero-Sum Plane</w:t>
      </w:r>
    </w:p>
    <w:p>
      <w:pPr>
        <w:pStyle w:val="Heading2"/>
      </w:pPr>
      <w:r>
        <w:rPr>
          <w:rFonts w:ascii="Arial" w:cs="Arial" w:eastAsia="Arial" w:hAnsi="Arial"/>
          <w:b/>
          <w:bCs/>
          <w:sz w:val="28"/>
          <w:szCs w:val="28"/>
        </w:rPr>
        <w:t xml:space="preserve">2.1 The CLR Transform</w:t>
      </w:r>
    </w:p>
    <w:p>
      <w:pPr>
        <w:spacing w:after="120"/>
      </w:pPr>
      <w:r>
        <w:rPr>
          <w:rFonts w:ascii="Arial" w:cs="Arial" w:eastAsia="Arial" w:hAnsi="Arial"/>
          <w:sz w:val="24"/>
          <w:szCs w:val="24"/>
        </w:rPr>
        <w:t xml:space="preserve">The centred log-ratio (CLR) transform maps a D-part composition x from the simplex S^D to a hyperplane in R^D:</w:t>
      </w:r>
    </w:p>
    <w:p>
      <w:pPr>
        <w:spacing w:after="80" w:before="80"/>
        <w:ind w:left="720"/>
      </w:pPr>
      <w:r>
        <w:rPr>
          <w:rFonts w:ascii="Arial" w:cs="Arial" w:eastAsia="Arial" w:hAnsi="Arial"/>
          <w:i/>
          <w:iCs/>
          <w:sz w:val="24"/>
          <w:szCs w:val="24"/>
        </w:rPr>
        <w:t xml:space="preserve">h_j = ln(x_j) - (1/D) ∑ ln(x_k),  j = 1, ..., D</w:t>
      </w:r>
    </w:p>
    <w:p>
      <w:pPr>
        <w:spacing w:after="120"/>
      </w:pPr>
      <w:r>
        <w:rPr>
          <w:rFonts w:ascii="Arial" w:cs="Arial" w:eastAsia="Arial" w:hAnsi="Arial"/>
          <w:sz w:val="24"/>
          <w:szCs w:val="24"/>
        </w:rPr>
        <w:t xml:space="preserve">The CLR coordinates satisfy the zero-sum constraint:</w:t>
      </w:r>
    </w:p>
    <w:p>
      <w:pPr>
        <w:spacing w:after="80" w:before="80"/>
        <w:ind w:left="720"/>
      </w:pPr>
      <w:r>
        <w:rPr>
          <w:rFonts w:ascii="Arial" w:cs="Arial" w:eastAsia="Arial" w:hAnsi="Arial"/>
          <w:i/>
          <w:iCs/>
          <w:sz w:val="24"/>
          <w:szCs w:val="24"/>
        </w:rPr>
        <w:t xml:space="preserve">∑ h_j = 0</w:t>
      </w:r>
    </w:p>
    <w:p>
      <w:pPr>
        <w:spacing w:after="120"/>
      </w:pPr>
      <w:r>
        <w:rPr>
          <w:rFonts w:ascii="Arial" w:cs="Arial" w:eastAsia="Arial" w:hAnsi="Arial"/>
          <w:sz w:val="24"/>
          <w:szCs w:val="24"/>
        </w:rPr>
        <w:t xml:space="preserve">This constraint means CLR vectors lie on a (D-1)-dimensional hyperplane through the origin.</w:t>
      </w:r>
    </w:p>
    <w:p>
      <w:pPr>
        <w:pStyle w:val="Heading2"/>
      </w:pPr>
      <w:r>
        <w:rPr>
          <w:rFonts w:ascii="Arial" w:cs="Arial" w:eastAsia="Arial" w:hAnsi="Arial"/>
          <w:b/>
          <w:bCs/>
          <w:sz w:val="28"/>
          <w:szCs w:val="28"/>
        </w:rPr>
        <w:t xml:space="preserve">2.2 Geometric Interpretation</w:t>
      </w:r>
    </w:p>
    <w:p>
      <w:pPr>
        <w:spacing w:after="120"/>
      </w:pPr>
      <w:r>
        <w:rPr>
          <w:rFonts w:ascii="Arial" w:cs="Arial" w:eastAsia="Arial" w:hAnsi="Arial"/>
          <w:sz w:val="24"/>
          <w:szCs w:val="24"/>
        </w:rPr>
        <w:t xml:space="preserve">The CLR transform unfolds the simplex into flat (Euclidean) coordinates on the zero-sum hyperplane. The simplex, a curved manifold with boundary, is mapped to an unbounded flat subspace. Compositions near the barycenter (1/D, ..., 1/D) map close to the origin; compositions near vertices map far from the origin. The geometry preserves the Aitchison inner product structure.</w:t>
      </w:r>
    </w:p>
    <w:p>
      <w:pPr>
        <w:pStyle w:val="Heading2"/>
      </w:pPr>
      <w:r>
        <w:rPr>
          <w:rFonts w:ascii="Arial" w:cs="Arial" w:eastAsia="Arial" w:hAnsi="Arial"/>
          <w:b/>
          <w:bCs/>
          <w:sz w:val="28"/>
          <w:szCs w:val="28"/>
        </w:rPr>
        <w:t xml:space="preserve">2.3 Zero-Sum Verification</w:t>
      </w:r>
    </w:p>
    <w:p>
      <w:pPr>
        <w:spacing w:after="120"/>
      </w:pPr>
      <w:r>
        <w:rPr>
          <w:rFonts w:ascii="Arial" w:cs="Arial" w:eastAsia="Arial" w:hAnsi="Arial"/>
          <w:sz w:val="24"/>
          <w:szCs w:val="24"/>
        </w:rPr>
        <w:t xml:space="preserve">Calibration test P01 verifies the zero-sum property at IEEE 754 double precision:</w:t>
      </w:r>
    </w:p>
    <w:p>
      <w:pPr>
        <w:spacing w:after="80" w:before="80"/>
        <w:ind w:left="720"/>
      </w:pPr>
      <w:r>
        <w:rPr>
          <w:rFonts w:ascii="Arial" w:cs="Arial" w:eastAsia="Arial" w:hAnsi="Arial"/>
          <w:i/>
          <w:iCs/>
          <w:sz w:val="24"/>
          <w:szCs w:val="24"/>
        </w:rPr>
        <w:t xml:space="preserve">|  ∑ h_j  | = 1.78e-15</w:t>
      </w:r>
    </w:p>
    <w:p>
      <w:pPr>
        <w:spacing w:after="120"/>
      </w:pPr>
      <w:r>
        <w:rPr>
          <w:rFonts w:ascii="Arial" w:cs="Arial" w:eastAsia="Arial" w:hAnsi="Arial"/>
          <w:sz w:val="24"/>
          <w:szCs w:val="24"/>
        </w:rPr>
        <w:t xml:space="preserve">This residual is within the expected range for 64-bit floating point arithmetic (machine epsilon = 2.22e-16, accumulated over D summation operations).</w:t>
      </w:r>
    </w:p>
    <w:p>
      <w:pPr>
        <w:pStyle w:val="Heading2"/>
      </w:pPr>
      <w:r>
        <w:rPr>
          <w:rFonts w:ascii="Arial" w:cs="Arial" w:eastAsia="Arial" w:hAnsi="Arial"/>
          <w:b/>
          <w:bCs/>
          <w:sz w:val="28"/>
          <w:szCs w:val="28"/>
        </w:rPr>
        <w:t xml:space="preserve">2.4 The Helmert Submatrix</w:t>
      </w:r>
    </w:p>
    <w:p>
      <w:pPr>
        <w:spacing w:after="120"/>
      </w:pPr>
      <w:r>
        <w:rPr>
          <w:rFonts w:ascii="Arial" w:cs="Arial" w:eastAsia="Arial" w:hAnsi="Arial"/>
          <w:sz w:val="24"/>
          <w:szCs w:val="24"/>
        </w:rPr>
        <w:t xml:space="preserve">The Helmert submatrix provides an orthonormal basis for the zero-sum hyperplane. The k-th basis vector e_k has components:</w:t>
      </w:r>
    </w:p>
    <w:p>
      <w:pPr>
        <w:spacing w:after="80" w:before="80"/>
        <w:ind w:left="720"/>
      </w:pPr>
      <w:r>
        <w:rPr>
          <w:rFonts w:ascii="Arial" w:cs="Arial" w:eastAsia="Arial" w:hAnsi="Arial"/>
          <w:i/>
          <w:iCs/>
          <w:sz w:val="24"/>
          <w:szCs w:val="24"/>
        </w:rPr>
        <w:t xml:space="preserve">(e_k)_j = -1/sqrt(k(k+1))  for j &lt; k</w:t>
      </w:r>
    </w:p>
    <w:p>
      <w:pPr>
        <w:spacing w:after="80" w:before="80"/>
        <w:ind w:left="720"/>
      </w:pPr>
      <w:r>
        <w:rPr>
          <w:rFonts w:ascii="Arial" w:cs="Arial" w:eastAsia="Arial" w:hAnsi="Arial"/>
          <w:i/>
          <w:iCs/>
          <w:sz w:val="24"/>
          <w:szCs w:val="24"/>
        </w:rPr>
        <w:t xml:space="preserve">(e_k)_j = k/sqrt(k(k+1))   for j = k</w:t>
      </w:r>
    </w:p>
    <w:p>
      <w:pPr>
        <w:spacing w:after="80" w:before="80"/>
        <w:ind w:left="720"/>
      </w:pPr>
      <w:r>
        <w:rPr>
          <w:rFonts w:ascii="Arial" w:cs="Arial" w:eastAsia="Arial" w:hAnsi="Arial"/>
          <w:i/>
          <w:iCs/>
          <w:sz w:val="24"/>
          <w:szCs w:val="24"/>
        </w:rPr>
        <w:t xml:space="preserve">(e_k)_j = 0                 for j &gt; k</w:t>
      </w:r>
    </w:p>
    <w:p>
      <w:pPr>
        <w:spacing w:after="120"/>
      </w:pPr>
      <w:r>
        <w:rPr>
          <w:rFonts w:ascii="Arial" w:cs="Arial" w:eastAsia="Arial" w:hAnsi="Arial"/>
          <w:sz w:val="24"/>
          <w:szCs w:val="24"/>
        </w:rPr>
        <w:t xml:space="preserve">These basis vectors are verified to machine precision: orthogonality residual &lt; 1e-15, normality residual &lt; 1e-15.</w:t>
      </w:r>
    </w:p>
    <w:p>
      <w:r>
        <w:br w:type="page"/>
      </w:r>
    </w:p>
    <w:p>
      <w:pPr>
        <w:pStyle w:val="Heading1"/>
      </w:pPr>
      <w:r>
        <w:rPr>
          <w:rFonts w:ascii="Arial" w:cs="Arial" w:eastAsia="Arial" w:hAnsi="Arial"/>
          <w:b/>
          <w:bCs/>
          <w:sz w:val="32"/>
          <w:szCs w:val="32"/>
        </w:rPr>
        <w:t xml:space="preserve">Chapter 3: CNT Tensor Definitions</w:t>
      </w:r>
    </w:p>
    <w:p>
      <w:pPr>
        <w:spacing w:after="120"/>
      </w:pPr>
      <w:r>
        <w:rPr>
          <w:rFonts w:ascii="Arial" w:cs="Arial" w:eastAsia="Arial" w:hAnsi="Arial"/>
          <w:sz w:val="24"/>
          <w:szCs w:val="24"/>
        </w:rPr>
        <w:t xml:space="preserve">The CNT maps a composition x(t) to a four-channel tensor:</w:t>
      </w:r>
    </w:p>
    <w:p>
      <w:pPr>
        <w:spacing w:after="80" w:before="80"/>
        <w:ind w:left="720"/>
      </w:pPr>
      <w:r>
        <w:rPr>
          <w:rFonts w:ascii="Arial" w:cs="Arial" w:eastAsia="Arial" w:hAnsi="Arial"/>
          <w:i/>
          <w:iCs/>
          <w:sz w:val="24"/>
          <w:szCs w:val="24"/>
        </w:rPr>
        <w:t xml:space="preserve">CNT(x) = (θ, ω, κ_HS, 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2000"/>
        <w:gridCol w:w="2860"/>
      </w:tblGrid>
      <w:tr>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Channel</w:t>
            </w:r>
          </w:p>
        </w:tc>
        <w:tc>
          <w:tcPr>
            <w:tcW w:type="dxa" w:w="1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Rank</w:t>
            </w:r>
          </w:p>
        </w:tc>
        <w:tc>
          <w:tcPr>
            <w:tcW w:type="dxa" w:w="1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Shape</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Unit</w:t>
            </w:r>
          </w:p>
        </w:tc>
        <w:tc>
          <w:tcPr>
            <w:tcW w:type="dxa" w:w="28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Bounds</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θ</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 x 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radians</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(-π, π]</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Angular velocity ω</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scalar</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radians</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 π]</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tensor κ_HS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 x 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HLR²</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 ∞)</w:t>
            </w:r>
          </w:p>
        </w:tc>
      </w:tr>
      <w:tr>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Helmsman σ</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scalar</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index</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 ..., D}</w:t>
            </w:r>
          </w:p>
        </w:tc>
      </w:tr>
    </w:tbl>
    <w:p>
      <w:pPr>
        <w:pStyle w:val="Heading2"/>
      </w:pPr>
      <w:r>
        <w:rPr>
          <w:rFonts w:ascii="Arial" w:cs="Arial" w:eastAsia="Arial" w:hAnsi="Arial"/>
          <w:b/>
          <w:bCs/>
          <w:sz w:val="28"/>
          <w:szCs w:val="28"/>
        </w:rPr>
        <w:t xml:space="preserve">3.1 Bearing Tensor</w:t>
      </w:r>
    </w:p>
    <w:p>
      <w:pPr>
        <w:spacing w:after="120"/>
      </w:pPr>
      <w:r>
        <w:rPr>
          <w:rFonts w:ascii="Arial" w:cs="Arial" w:eastAsia="Arial" w:hAnsi="Arial"/>
          <w:sz w:val="24"/>
          <w:szCs w:val="24"/>
        </w:rPr>
        <w:t xml:space="preserve">The bearing tensor captures the pairwise angular relationship between carriers in CLR space:</w:t>
      </w:r>
    </w:p>
    <w:p>
      <w:pPr>
        <w:spacing w:after="80" w:before="80"/>
        <w:ind w:left="720"/>
      </w:pPr>
      <w:r>
        <w:rPr>
          <w:rFonts w:ascii="Arial" w:cs="Arial" w:eastAsia="Arial" w:hAnsi="Arial"/>
          <w:i/>
          <w:iCs/>
          <w:sz w:val="24"/>
          <w:szCs w:val="24"/>
        </w:rPr>
        <w:t xml:space="preserve">θ_ij = atan2(h_j, h_i)</w:t>
      </w:r>
    </w:p>
    <w:p>
      <w:pPr>
        <w:spacing w:after="120"/>
      </w:pPr>
      <w:r>
        <w:rPr>
          <w:rFonts w:ascii="Arial" w:cs="Arial" w:eastAsia="Arial" w:hAnsi="Arial"/>
          <w:sz w:val="24"/>
          <w:szCs w:val="24"/>
        </w:rPr>
        <w:t xml:space="preserve">Each element gives the bearing from carrier i toward carrier j in the CLR coordinate system. The bearing tensor is antisymmetric: θ_ji = -θ_ij (modulo 2π).</w:t>
      </w:r>
    </w:p>
    <w:p>
      <w:pPr>
        <w:pStyle w:val="Heading2"/>
      </w:pPr>
      <w:r>
        <w:rPr>
          <w:rFonts w:ascii="Arial" w:cs="Arial" w:eastAsia="Arial" w:hAnsi="Arial"/>
          <w:b/>
          <w:bCs/>
          <w:sz w:val="28"/>
          <w:szCs w:val="28"/>
        </w:rPr>
        <w:t xml:space="preserve">3.2 Angular Velocity</w:t>
      </w:r>
    </w:p>
    <w:p>
      <w:pPr>
        <w:spacing w:after="120"/>
      </w:pPr>
      <w:r>
        <w:rPr>
          <w:rFonts w:ascii="Arial" w:cs="Arial" w:eastAsia="Arial" w:hAnsi="Arial"/>
          <w:sz w:val="24"/>
          <w:szCs w:val="24"/>
        </w:rPr>
        <w:t xml:space="preserve">Angular velocity measures the rate of bearing change between consecutive time steps:</w:t>
      </w:r>
    </w:p>
    <w:p>
      <w:pPr>
        <w:spacing w:after="80" w:before="80"/>
        <w:ind w:left="720"/>
      </w:pPr>
      <w:r>
        <w:rPr>
          <w:rFonts w:ascii="Arial" w:cs="Arial" w:eastAsia="Arial" w:hAnsi="Arial"/>
          <w:i/>
          <w:iCs/>
          <w:sz w:val="24"/>
          <w:szCs w:val="24"/>
        </w:rPr>
        <w:t xml:space="preserve">ω = atan2(||h1 × h2||, ⟨h1, h2⟩)</w:t>
      </w:r>
    </w:p>
    <w:p>
      <w:pPr>
        <w:spacing w:after="120"/>
      </w:pPr>
      <w:r>
        <w:rPr>
          <w:rFonts w:ascii="Arial" w:cs="Arial" w:eastAsia="Arial" w:hAnsi="Arial"/>
          <w:sz w:val="24"/>
          <w:szCs w:val="24"/>
        </w:rPr>
        <w:t xml:space="preserve">This formula uses the Lagrange identity to avoid the arccos instability. The cross product norm and inner product are computed in the full D-dimensional CLR space. The atan2 formulation preserves all 15-16 significant digits of IEEE 754 double precision.</w:t>
      </w:r>
    </w:p>
    <w:p>
      <w:pPr>
        <w:pStyle w:val="Heading2"/>
      </w:pPr>
      <w:r>
        <w:rPr>
          <w:rFonts w:ascii="Arial" w:cs="Arial" w:eastAsia="Arial" w:hAnsi="Arial"/>
          <w:b/>
          <w:bCs/>
          <w:sz w:val="28"/>
          <w:szCs w:val="28"/>
        </w:rPr>
        <w:t xml:space="preserve">3.3 Higgins Steering Metric Tensor</w:t>
      </w:r>
    </w:p>
    <w:p>
      <w:pPr>
        <w:spacing w:after="120"/>
      </w:pPr>
      <w:r>
        <w:rPr>
          <w:rFonts w:ascii="Arial" w:cs="Arial" w:eastAsia="Arial" w:hAnsi="Arial"/>
          <w:sz w:val="24"/>
          <w:szCs w:val="24"/>
        </w:rPr>
        <w:t xml:space="preserve">The Higgins Steering Metric Tensor κ_HS measures the sensitivity of the CLR transform to perturbations in the raw composition:</w:t>
      </w:r>
    </w:p>
    <w:p>
      <w:pPr>
        <w:spacing w:after="80" w:before="80"/>
        <w:ind w:left="720"/>
      </w:pPr>
      <w:r>
        <w:rPr>
          <w:rFonts w:ascii="Arial" w:cs="Arial" w:eastAsia="Arial" w:hAnsi="Arial"/>
          <w:i/>
          <w:iCs/>
          <w:sz w:val="24"/>
          <w:szCs w:val="24"/>
        </w:rPr>
        <w:t xml:space="preserve">κ_HS_ij = (δ_ij - 1/D) / (x_i · x_j)</w:t>
      </w:r>
    </w:p>
    <w:p>
      <w:pPr>
        <w:spacing w:after="120"/>
      </w:pPr>
      <w:r>
        <w:rPr>
          <w:rFonts w:ascii="Arial" w:cs="Arial" w:eastAsia="Arial" w:hAnsi="Arial"/>
          <w:sz w:val="24"/>
          <w:szCs w:val="24"/>
        </w:rPr>
        <w:t xml:space="preserve">In matrix form:</w:t>
      </w:r>
    </w:p>
    <w:p>
      <w:pPr>
        <w:spacing w:after="80" w:before="80"/>
        <w:ind w:left="720"/>
      </w:pPr>
      <w:r>
        <w:rPr>
          <w:rFonts w:ascii="Arial" w:cs="Arial" w:eastAsia="Arial" w:hAnsi="Arial"/>
          <w:i/>
          <w:iCs/>
          <w:sz w:val="24"/>
          <w:szCs w:val="24"/>
        </w:rPr>
        <w:t xml:space="preserve">κ_HS = diag(1/x) · P · diag(1/x)</w:t>
      </w:r>
    </w:p>
    <w:p>
      <w:pPr>
        <w:spacing w:after="120"/>
      </w:pPr>
      <w:r>
        <w:rPr>
          <w:rFonts w:ascii="Arial" w:cs="Arial" w:eastAsia="Arial" w:hAnsi="Arial"/>
          <w:sz w:val="24"/>
          <w:szCs w:val="24"/>
        </w:rPr>
        <w:t xml:space="preserve">where P = I - (1/D)J is the centering matrix and J is the D x D matrix of ones. The tensor quantifies how much a small change in composition x_j affects the CLR coordinates.</w:t>
      </w:r>
    </w:p>
    <w:p>
      <w:pPr>
        <w:pStyle w:val="Heading2"/>
      </w:pPr>
      <w:r>
        <w:rPr>
          <w:rFonts w:ascii="Arial" w:cs="Arial" w:eastAsia="Arial" w:hAnsi="Arial"/>
          <w:b/>
          <w:bCs/>
          <w:sz w:val="28"/>
          <w:szCs w:val="28"/>
        </w:rPr>
        <w:t xml:space="preserve">3.4 Metric Tensor Properties</w:t>
      </w:r>
    </w:p>
    <w:p>
      <w:pPr>
        <w:spacing w:after="120"/>
      </w:pPr>
      <w:r>
        <w:rPr>
          <w:rFonts w:ascii="Arial" w:cs="Arial" w:eastAsia="Arial" w:hAnsi="Arial"/>
          <w:sz w:val="24"/>
          <w:szCs w:val="24"/>
        </w:rPr>
        <w:t xml:space="preserve">The Higgins Steering Metric Tensor has the following algebraic properties:</w:t>
      </w:r>
    </w:p>
    <w:p>
      <w:pPr>
        <w:spacing w:after="120"/>
        <w:ind w:left="720"/>
      </w:pPr>
      <w:r>
        <w:rPr>
          <w:rFonts w:ascii="Arial" w:cs="Arial" w:eastAsia="Arial" w:hAnsi="Arial"/>
          <w:sz w:val="24"/>
          <w:szCs w:val="24"/>
        </w:rPr>
        <w:t xml:space="preserve">Symmetry: κ_HS_ij = κ_HS_ji (inherited from P).</w:t>
      </w:r>
    </w:p>
    <w:p>
      <w:pPr>
        <w:spacing w:after="120"/>
        <w:ind w:left="720"/>
      </w:pPr>
      <w:r>
        <w:rPr>
          <w:rFonts w:ascii="Arial" w:cs="Arial" w:eastAsia="Arial" w:hAnsi="Arial"/>
          <w:sz w:val="24"/>
          <w:szCs w:val="24"/>
        </w:rPr>
        <w:t xml:space="preserve">Rank: D-1 (the null vector is proportional to x).</w:t>
      </w:r>
    </w:p>
    <w:p>
      <w:pPr>
        <w:spacing w:after="120"/>
        <w:ind w:left="720"/>
      </w:pPr>
      <w:r>
        <w:rPr>
          <w:rFonts w:ascii="Arial" w:cs="Arial" w:eastAsia="Arial" w:hAnsi="Arial"/>
          <w:sz w:val="24"/>
          <w:szCs w:val="24"/>
        </w:rPr>
        <w:t xml:space="preserve">Positive semi-definite: v^T κ_HS v &gt;= 0 for all v.</w:t>
      </w:r>
    </w:p>
    <w:p>
      <w:pPr>
        <w:spacing w:after="120"/>
        <w:ind w:left="720"/>
      </w:pPr>
      <w:r>
        <w:rPr>
          <w:rFonts w:ascii="Arial" w:cs="Arial" w:eastAsia="Arial" w:hAnsi="Arial"/>
          <w:sz w:val="24"/>
          <w:szCs w:val="24"/>
        </w:rPr>
        <w:t xml:space="preserve">Trace: tr(κ_HS) = ∑ (1 - 1/D) / x_j^2.</w:t>
      </w:r>
    </w:p>
    <w:p>
      <w:pPr>
        <w:spacing w:after="120"/>
        <w:ind w:left="720"/>
      </w:pPr>
      <w:r>
        <w:rPr>
          <w:rFonts w:ascii="Arial" w:cs="Arial" w:eastAsia="Arial" w:hAnsi="Arial"/>
          <w:sz w:val="24"/>
          <w:szCs w:val="24"/>
        </w:rPr>
        <w:t xml:space="preserve">Determinant: det(κ_HS) = 0 (rank-deficient by 1).</w:t>
      </w:r>
    </w:p>
    <w:p>
      <w:pPr>
        <w:spacing w:after="120"/>
        <w:ind w:left="720"/>
      </w:pPr>
      <w:r>
        <w:rPr>
          <w:rFonts w:ascii="Arial" w:cs="Arial" w:eastAsia="Arial" w:hAnsi="Arial"/>
          <w:sz w:val="24"/>
          <w:szCs w:val="24"/>
        </w:rPr>
        <w:t xml:space="preserve">Condition number: κ = λ_max / λ_min (over non-zero eigenvalues). High condition numbers indicate extreme compositional asymmetry.</w:t>
      </w:r>
    </w:p>
    <w:p>
      <w:pPr>
        <w:pStyle w:val="Heading2"/>
      </w:pPr>
      <w:r>
        <w:rPr>
          <w:rFonts w:ascii="Arial" w:cs="Arial" w:eastAsia="Arial" w:hAnsi="Arial"/>
          <w:b/>
          <w:bCs/>
          <w:sz w:val="28"/>
          <w:szCs w:val="28"/>
        </w:rPr>
        <w:t xml:space="preserve">3.5 Helmsman Index (DCDI)</w:t>
      </w:r>
    </w:p>
    <w:p>
      <w:pPr>
        <w:spacing w:after="120"/>
      </w:pPr>
      <w:r>
        <w:rPr>
          <w:rFonts w:ascii="Arial" w:cs="Arial" w:eastAsia="Arial" w:hAnsi="Arial"/>
          <w:sz w:val="24"/>
          <w:szCs w:val="24"/>
        </w:rPr>
        <w:t xml:space="preserve">The Dominant Compositional Direction Indicator identifies the carrier with the greatest CLR movement between consecutive time steps:</w:t>
      </w:r>
    </w:p>
    <w:p>
      <w:pPr>
        <w:spacing w:after="80" w:before="80"/>
        <w:ind w:left="720"/>
      </w:pPr>
      <w:r>
        <w:rPr>
          <w:rFonts w:ascii="Arial" w:cs="Arial" w:eastAsia="Arial" w:hAnsi="Arial"/>
          <w:i/>
          <w:iCs/>
          <w:sz w:val="24"/>
          <w:szCs w:val="24"/>
        </w:rPr>
        <w:t xml:space="preserve">σ = argmax_j |h_j(t+1) - h_j(t)|</w:t>
      </w:r>
    </w:p>
    <w:p>
      <w:pPr>
        <w:spacing w:after="120"/>
      </w:pPr>
      <w:r>
        <w:rPr>
          <w:rFonts w:ascii="Arial" w:cs="Arial" w:eastAsia="Arial" w:hAnsi="Arial"/>
          <w:sz w:val="24"/>
          <w:szCs w:val="24"/>
        </w:rPr>
        <w:t xml:space="preserve">The helmsman is the carrier that steers the composition most strongly at each time step.</w:t>
      </w:r>
    </w:p>
    <w:p>
      <w:pPr>
        <w:pStyle w:val="Heading2"/>
      </w:pPr>
      <w:r>
        <w:rPr>
          <w:rFonts w:ascii="Arial" w:cs="Arial" w:eastAsia="Arial" w:hAnsi="Arial"/>
          <w:b/>
          <w:bCs/>
          <w:sz w:val="28"/>
          <w:szCs w:val="28"/>
        </w:rPr>
        <w:t xml:space="preserve">3.6 Dimensionality Expansion</w:t>
      </w:r>
    </w:p>
    <w:p>
      <w:pPr>
        <w:spacing w:after="120"/>
      </w:pPr>
      <w:r>
        <w:rPr>
          <w:rFonts w:ascii="Arial" w:cs="Arial" w:eastAsia="Arial" w:hAnsi="Arial"/>
          <w:sz w:val="24"/>
          <w:szCs w:val="24"/>
        </w:rPr>
        <w:t xml:space="preserve">For D carriers, the CNT produces D(D-1)/2 pairwise bearings plus angular velocity, metric tensor elements, and helmsman. For D = 8:</w:t>
      </w:r>
    </w:p>
    <w:p>
      <w:pPr>
        <w:spacing w:after="80" w:before="80"/>
        <w:ind w:left="720"/>
      </w:pPr>
      <w:r>
        <w:rPr>
          <w:rFonts w:ascii="Arial" w:cs="Arial" w:eastAsia="Arial" w:hAnsi="Arial"/>
          <w:i/>
          <w:iCs/>
          <w:sz w:val="24"/>
          <w:szCs w:val="24"/>
        </w:rPr>
        <w:t xml:space="preserve">8 × 7 / 2 = 28 bearings + 28 metric elements + 1 angular velocity + 1 helmsman = 58 measurements</w:t>
      </w:r>
    </w:p>
    <w:p>
      <w:pPr>
        <w:spacing w:after="120"/>
      </w:pPr>
      <w:r>
        <w:rPr>
          <w:rFonts w:ascii="Arial" w:cs="Arial" w:eastAsia="Arial" w:hAnsi="Arial"/>
          <w:sz w:val="24"/>
          <w:szCs w:val="24"/>
        </w:rPr>
        <w:t xml:space="preserve">From 16 inputs (8 carriers at 2 time steps), the CNT extracts 66 independent measurements. This dimensionality expansion is a defining property of tensor instruments.</w:t>
      </w:r>
    </w:p>
    <w:p>
      <w:r>
        <w:br w:type="page"/>
      </w:r>
    </w:p>
    <w:p>
      <w:pPr>
        <w:pStyle w:val="Heading1"/>
      </w:pPr>
      <w:r>
        <w:rPr>
          <w:rFonts w:ascii="Arial" w:cs="Arial" w:eastAsia="Arial" w:hAnsi="Arial"/>
          <w:b/>
          <w:bCs/>
          <w:sz w:val="32"/>
          <w:szCs w:val="32"/>
        </w:rPr>
        <w:t xml:space="preserve">Chapter 4: Corollaries</w:t>
      </w:r>
    </w:p>
    <w:p>
      <w:pPr>
        <w:spacing w:after="120"/>
      </w:pPr>
      <w:r>
        <w:rPr>
          <w:rFonts w:ascii="Arial" w:cs="Arial" w:eastAsia="Arial" w:hAnsi="Arial"/>
          <w:sz w:val="24"/>
          <w:szCs w:val="24"/>
        </w:rPr>
        <w:t xml:space="preserve">Five corollaries follow from the CNT definitions. All five are verified by calibration test.</w:t>
      </w:r>
    </w:p>
    <w:p>
      <w:pPr>
        <w:spacing w:after="120"/>
      </w:pPr>
      <w:r>
        <w:rPr>
          <w:rFonts w:ascii="Arial" w:cs="Arial" w:eastAsia="Arial" w:hAnsi="Arial"/>
          <w:b/>
          <w:bCs/>
          <w:sz w:val="24"/>
          <w:szCs w:val="24"/>
        </w:rPr>
        <w:t xml:space="preserve">Corollary C1: Bearing Determinism. </w:t>
      </w:r>
      <w:r>
        <w:rPr>
          <w:rFonts w:ascii="Arial" w:cs="Arial" w:eastAsia="Arial" w:hAnsi="Arial"/>
          <w:sz w:val="24"/>
          <w:szCs w:val="24"/>
        </w:rPr>
        <w:t xml:space="preserve">The same composition always produces the same bearing. Since θ_ij = atan2(h_j, h_i) and h = clr(x) is a deterministic function, θ is uniquely determined by x. There are no free parameters.</w:t>
      </w:r>
    </w:p>
    <w:p>
      <w:pPr>
        <w:spacing w:after="120"/>
      </w:pPr>
      <w:r>
        <w:rPr>
          <w:rFonts w:ascii="Arial" w:cs="Arial" w:eastAsia="Arial" w:hAnsi="Arial"/>
          <w:b/>
          <w:bCs/>
          <w:sz w:val="24"/>
          <w:szCs w:val="24"/>
        </w:rPr>
        <w:t xml:space="preserve">Corollary C2: Steering Asymmetry. </w:t>
      </w:r>
      <w:r>
        <w:rPr>
          <w:rFonts w:ascii="Arial" w:cs="Arial" w:eastAsia="Arial" w:hAnsi="Arial"/>
          <w:sz w:val="24"/>
          <w:szCs w:val="24"/>
        </w:rPr>
        <w:t xml:space="preserve">The ratio of maximum to minimum steering sensitivity equals R², where R = x_max / x_min. Specifically, max(κ_jj) / min(κ_jj) = (x_max / x_min)². This means small components are steered much more sensitively than large ones.</w:t>
      </w:r>
    </w:p>
    <w:p>
      <w:pPr>
        <w:spacing w:after="120"/>
      </w:pPr>
      <w:r>
        <w:rPr>
          <w:rFonts w:ascii="Arial" w:cs="Arial" w:eastAsia="Arial" w:hAnsi="Arial"/>
          <w:b/>
          <w:bCs/>
          <w:sz w:val="24"/>
          <w:szCs w:val="24"/>
        </w:rPr>
        <w:t xml:space="preserve">Corollary C3: Lock Detection. </w:t>
      </w:r>
      <w:r>
        <w:rPr>
          <w:rFonts w:ascii="Arial" w:cs="Arial" w:eastAsia="Arial" w:hAnsi="Arial"/>
          <w:sz w:val="24"/>
          <w:szCs w:val="24"/>
        </w:rPr>
        <w:t xml:space="preserve">If the bearing variance falls below a threshold ε, the composition is locked (stationary in direction). Formally: var(θ_ij(t)) &lt; ε implies directional lock.</w:t>
      </w:r>
    </w:p>
    <w:p>
      <w:pPr>
        <w:spacing w:after="120"/>
      </w:pPr>
      <w:r>
        <w:rPr>
          <w:rFonts w:ascii="Arial" w:cs="Arial" w:eastAsia="Arial" w:hAnsi="Arial"/>
          <w:b/>
          <w:bCs/>
          <w:sz w:val="24"/>
          <w:szCs w:val="24"/>
        </w:rPr>
        <w:t xml:space="preserve">Corollary C4: Bearing Reversal. </w:t>
      </w:r>
      <w:r>
        <w:rPr>
          <w:rFonts w:ascii="Arial" w:cs="Arial" w:eastAsia="Arial" w:hAnsi="Arial"/>
          <w:sz w:val="24"/>
          <w:szCs w:val="24"/>
        </w:rPr>
        <w:t xml:space="preserve">A sign change in the bearing increment Δθ_ij indicates a structural crossover: the relative positions of carriers i and j have reversed in CLR space.</w:t>
      </w:r>
    </w:p>
    <w:p>
      <w:pPr>
        <w:spacing w:after="120"/>
      </w:pPr>
      <w:r>
        <w:rPr>
          <w:rFonts w:ascii="Arial" w:cs="Arial" w:eastAsia="Arial" w:hAnsi="Arial"/>
          <w:b/>
          <w:bCs/>
          <w:sz w:val="24"/>
          <w:szCs w:val="24"/>
        </w:rPr>
        <w:t xml:space="preserve">Corollary C5: Infinite Helm. </w:t>
      </w:r>
      <w:r>
        <w:rPr>
          <w:rFonts w:ascii="Arial" w:cs="Arial" w:eastAsia="Arial" w:hAnsi="Arial"/>
          <w:sz w:val="24"/>
          <w:szCs w:val="24"/>
        </w:rPr>
        <w:t xml:space="preserve">As any component x_j approaches zero, its diagonal metric element diverges: κ_jj → ∞ as x_j → 0. This is the compositional singularity at the simplex boundary.</w:t>
      </w:r>
    </w:p>
    <w:p>
      <w:r>
        <w:br w:type="page"/>
      </w:r>
    </w:p>
    <w:p>
      <w:pPr>
        <w:pStyle w:val="Heading1"/>
      </w:pPr>
      <w:r>
        <w:rPr>
          <w:rFonts w:ascii="Arial" w:cs="Arial" w:eastAsia="Arial" w:hAnsi="Arial"/>
          <w:b/>
          <w:bCs/>
          <w:sz w:val="32"/>
          <w:szCs w:val="32"/>
        </w:rPr>
        <w:t xml:space="preserve">Chapter 5: Aitchison Distance and Metric Operations</w:t>
      </w:r>
    </w:p>
    <w:p>
      <w:pPr>
        <w:pStyle w:val="Heading2"/>
      </w:pPr>
      <w:r>
        <w:rPr>
          <w:rFonts w:ascii="Arial" w:cs="Arial" w:eastAsia="Arial" w:hAnsi="Arial"/>
          <w:b/>
          <w:bCs/>
          <w:sz w:val="28"/>
          <w:szCs w:val="28"/>
        </w:rPr>
        <w:t xml:space="preserve">5.1 Aitchison Distance</w:t>
      </w:r>
    </w:p>
    <w:p>
      <w:pPr>
        <w:spacing w:after="120"/>
      </w:pPr>
      <w:r>
        <w:rPr>
          <w:rFonts w:ascii="Arial" w:cs="Arial" w:eastAsia="Arial" w:hAnsi="Arial"/>
          <w:sz w:val="24"/>
          <w:szCs w:val="24"/>
        </w:rPr>
        <w:t xml:space="preserve">The Aitchison distance between two compositions x and y is the Euclidean distance between their CLR images:</w:t>
      </w:r>
    </w:p>
    <w:p>
      <w:pPr>
        <w:spacing w:after="80" w:before="80"/>
        <w:ind w:left="720"/>
      </w:pPr>
      <w:r>
        <w:rPr>
          <w:rFonts w:ascii="Arial" w:cs="Arial" w:eastAsia="Arial" w:hAnsi="Arial"/>
          <w:i/>
          <w:iCs/>
          <w:sz w:val="24"/>
          <w:szCs w:val="24"/>
        </w:rPr>
        <w:t xml:space="preserve">d_A(x, y) = √( ∑ (clr(x)_j - clr(y)_j)² )</w:t>
      </w:r>
    </w:p>
    <w:p>
      <w:pPr>
        <w:spacing w:after="120"/>
      </w:pPr>
      <w:r>
        <w:rPr>
          <w:rFonts w:ascii="Arial" w:cs="Arial" w:eastAsia="Arial" w:hAnsi="Arial"/>
          <w:sz w:val="24"/>
          <w:szCs w:val="24"/>
        </w:rPr>
        <w:t xml:space="preserve">This metric is scale-invariant, permutation-invariant, and subcompositionally coherent.</w:t>
      </w:r>
    </w:p>
    <w:p>
      <w:pPr>
        <w:pStyle w:val="Heading2"/>
      </w:pPr>
      <w:r>
        <w:rPr>
          <w:rFonts w:ascii="Arial" w:cs="Arial" w:eastAsia="Arial" w:hAnsi="Arial"/>
          <w:b/>
          <w:bCs/>
          <w:sz w:val="28"/>
          <w:szCs w:val="28"/>
        </w:rPr>
        <w:t xml:space="preserve">5.2 Metric Energy</w:t>
      </w:r>
    </w:p>
    <w:p>
      <w:pPr>
        <w:spacing w:after="120"/>
      </w:pPr>
      <w:r>
        <w:rPr>
          <w:rFonts w:ascii="Arial" w:cs="Arial" w:eastAsia="Arial" w:hAnsi="Arial"/>
          <w:sz w:val="24"/>
          <w:szCs w:val="24"/>
        </w:rPr>
        <w:t xml:space="preserve">The metric energy of a composition is its squared Aitchison distance from the geometric mean (barycenter):</w:t>
      </w:r>
    </w:p>
    <w:p>
      <w:pPr>
        <w:spacing w:after="80" w:before="80"/>
        <w:ind w:left="720"/>
      </w:pPr>
      <w:r>
        <w:rPr>
          <w:rFonts w:ascii="Arial" w:cs="Arial" w:eastAsia="Arial" w:hAnsi="Arial"/>
          <w:i/>
          <w:iCs/>
          <w:sz w:val="24"/>
          <w:szCs w:val="24"/>
        </w:rPr>
        <w:t xml:space="preserve">E(x) = ||h||² = d_A(x, g(x))²</w:t>
      </w:r>
    </w:p>
    <w:p>
      <w:pPr>
        <w:spacing w:after="120"/>
      </w:pPr>
      <w:r>
        <w:rPr>
          <w:rFonts w:ascii="Arial" w:cs="Arial" w:eastAsia="Arial" w:hAnsi="Arial"/>
          <w:sz w:val="24"/>
          <w:szCs w:val="24"/>
        </w:rPr>
        <w:t xml:space="preserve">where g(x) = (1/D, ..., 1/D) is the barycenter of the simplex. High energy means the composition is far from uniform.</w:t>
      </w:r>
    </w:p>
    <w:p>
      <w:pPr>
        <w:pStyle w:val="Heading2"/>
      </w:pPr>
      <w:r>
        <w:rPr>
          <w:rFonts w:ascii="Arial" w:cs="Arial" w:eastAsia="Arial" w:hAnsi="Arial"/>
          <w:b/>
          <w:bCs/>
          <w:sz w:val="28"/>
          <w:szCs w:val="28"/>
        </w:rPr>
        <w:t xml:space="preserve">5.3 Metric Inner Product</w:t>
      </w:r>
    </w:p>
    <w:p>
      <w:pPr>
        <w:spacing w:after="120"/>
      </w:pPr>
      <w:r>
        <w:rPr>
          <w:rFonts w:ascii="Arial" w:cs="Arial" w:eastAsia="Arial" w:hAnsi="Arial"/>
          <w:sz w:val="24"/>
          <w:szCs w:val="24"/>
        </w:rPr>
        <w:t xml:space="preserve">The Aitchison inner product weighted by the metric tensor:</w:t>
      </w:r>
    </w:p>
    <w:p>
      <w:pPr>
        <w:spacing w:after="80" w:before="80"/>
        <w:ind w:left="720"/>
      </w:pPr>
      <w:r>
        <w:rPr>
          <w:rFonts w:ascii="Arial" w:cs="Arial" w:eastAsia="Arial" w:hAnsi="Arial"/>
          <w:i/>
          <w:iCs/>
          <w:sz w:val="24"/>
          <w:szCs w:val="24"/>
        </w:rPr>
        <w:t xml:space="preserve">⟨u, v⟩_A = u^T κ_HS v</w:t>
      </w:r>
    </w:p>
    <w:p>
      <w:pPr>
        <w:spacing w:after="120"/>
      </w:pPr>
      <w:r>
        <w:rPr>
          <w:rFonts w:ascii="Arial" w:cs="Arial" w:eastAsia="Arial" w:hAnsi="Arial"/>
          <w:sz w:val="24"/>
          <w:szCs w:val="24"/>
        </w:rPr>
        <w:t xml:space="preserve">This defines the natural inner product on the tangent space at x, with κ_HS as the Riemannian metric.</w:t>
      </w:r>
    </w:p>
    <w:p>
      <w:pPr>
        <w:pStyle w:val="Heading2"/>
      </w:pPr>
      <w:r>
        <w:rPr>
          <w:rFonts w:ascii="Arial" w:cs="Arial" w:eastAsia="Arial" w:hAnsi="Arial"/>
          <w:b/>
          <w:bCs/>
          <w:sz w:val="28"/>
          <w:szCs w:val="28"/>
        </w:rPr>
        <w:t xml:space="preserve">5.4 Geodesics</w:t>
      </w:r>
    </w:p>
    <w:p>
      <w:pPr>
        <w:spacing w:after="120"/>
      </w:pPr>
      <w:r>
        <w:rPr>
          <w:rFonts w:ascii="Arial" w:cs="Arial" w:eastAsia="Arial" w:hAnsi="Arial"/>
          <w:sz w:val="24"/>
          <w:szCs w:val="24"/>
        </w:rPr>
        <w:t xml:space="preserve">In CLR coordinates, geodesics on the simplex are straight lines. The CLR transform maps the curved Aitchison geometry to flat Euclidean geometry, making geodesic computation trivial: the shortest path between two compositions is a straight line in CLR space.</w:t>
      </w:r>
    </w:p>
    <w:p>
      <w:r>
        <w:br w:type="page"/>
      </w:r>
    </w:p>
    <w:p>
      <w:pPr>
        <w:pStyle w:val="Heading1"/>
      </w:pPr>
      <w:r>
        <w:rPr>
          <w:rFonts w:ascii="Arial" w:cs="Arial" w:eastAsia="Arial" w:hAnsi="Arial"/>
          <w:b/>
          <w:bCs/>
          <w:sz w:val="32"/>
          <w:szCs w:val="32"/>
        </w:rPr>
        <w:t xml:space="preserve">Chapter 6: Precision Analysis</w:t>
      </w:r>
    </w:p>
    <w:p>
      <w:pPr>
        <w:pStyle w:val="Heading2"/>
      </w:pPr>
      <w:r>
        <w:rPr>
          <w:rFonts w:ascii="Arial" w:cs="Arial" w:eastAsia="Arial" w:hAnsi="Arial"/>
          <w:b/>
          <w:bCs/>
          <w:sz w:val="28"/>
          <w:szCs w:val="28"/>
        </w:rPr>
        <w:t xml:space="preserve">6.1 The arccos Instability (P03)</w:t>
      </w:r>
    </w:p>
    <w:p>
      <w:pPr>
        <w:spacing w:after="120"/>
      </w:pPr>
      <w:r>
        <w:rPr>
          <w:rFonts w:ascii="Arial" w:cs="Arial" w:eastAsia="Arial" w:hAnsi="Arial"/>
          <w:sz w:val="24"/>
          <w:szCs w:val="24"/>
        </w:rPr>
        <w:t xml:space="preserve">The naive formula ω = arccos(⟨h1, h2⟩ / (||h1|| ||h2||)) loses 8 significant digits when the argument is near 1.0 (small angles). The condition number of arccos diverges as its argument approaches ±1:</w:t>
      </w:r>
    </w:p>
    <w:p>
      <w:pPr>
        <w:spacing w:after="80" w:before="80"/>
        <w:ind w:left="720"/>
      </w:pPr>
      <w:r>
        <w:rPr>
          <w:rFonts w:ascii="Arial" w:cs="Arial" w:eastAsia="Arial" w:hAnsi="Arial"/>
          <w:i/>
          <w:iCs/>
          <w:sz w:val="24"/>
          <w:szCs w:val="24"/>
        </w:rPr>
        <w:t xml:space="preserve">κ(arccos, u) = |u| / (√(1 - u²) · |arccos(u)|)</w:t>
      </w:r>
    </w:p>
    <w:p>
      <w:pPr>
        <w:spacing w:after="120"/>
      </w:pPr>
      <w:r>
        <w:rPr>
          <w:rFonts w:ascii="Arial" w:cs="Arial" w:eastAsia="Arial" w:hAnsi="Arial"/>
          <w:sz w:val="24"/>
          <w:szCs w:val="24"/>
        </w:rPr>
        <w:t xml:space="preserve">The atan2 formulation avoids this entirely, preserving all available precision across the full angular range.</w:t>
      </w:r>
    </w:p>
    <w:p>
      <w:pPr>
        <w:pStyle w:val="Heading2"/>
      </w:pPr>
      <w:r>
        <w:rPr>
          <w:rFonts w:ascii="Arial" w:cs="Arial" w:eastAsia="Arial" w:hAnsi="Arial"/>
          <w:b/>
          <w:bCs/>
          <w:sz w:val="28"/>
          <w:szCs w:val="28"/>
        </w:rPr>
        <w:t xml:space="preserve">6.2 Condition Number Theory (P07)</w:t>
      </w:r>
    </w:p>
    <w:p>
      <w:pPr>
        <w:spacing w:after="120"/>
      </w:pPr>
      <w:r>
        <w:rPr>
          <w:rFonts w:ascii="Arial" w:cs="Arial" w:eastAsia="Arial" w:hAnsi="Arial"/>
          <w:sz w:val="24"/>
          <w:szCs w:val="24"/>
        </w:rPr>
        <w:t xml:space="preserve">The number of reliable significant digits in a computed result is:</w:t>
      </w:r>
    </w:p>
    <w:p>
      <w:pPr>
        <w:spacing w:after="80" w:before="80"/>
        <w:ind w:left="720"/>
      </w:pPr>
      <w:r>
        <w:rPr>
          <w:rFonts w:ascii="Arial" w:cs="Arial" w:eastAsia="Arial" w:hAnsi="Arial"/>
          <w:i/>
          <w:iCs/>
          <w:sz w:val="24"/>
          <w:szCs w:val="24"/>
        </w:rPr>
        <w:t xml:space="preserve">digits ≈ 15 - log10(κ)</w:t>
      </w:r>
    </w:p>
    <w:p>
      <w:pPr>
        <w:spacing w:after="120"/>
      </w:pPr>
      <w:r>
        <w:rPr>
          <w:rFonts w:ascii="Arial" w:cs="Arial" w:eastAsia="Arial" w:hAnsi="Arial"/>
          <w:sz w:val="24"/>
          <w:szCs w:val="24"/>
        </w:rPr>
        <w:t xml:space="preserve">where κ is the condition number of the operation. For the metric tensor with condition number 10^4, approximately 11 digits are reliable.</w:t>
      </w:r>
    </w:p>
    <w:p>
      <w:pPr>
        <w:pStyle w:val="Heading2"/>
      </w:pPr>
      <w:r>
        <w:rPr>
          <w:rFonts w:ascii="Arial" w:cs="Arial" w:eastAsia="Arial" w:hAnsi="Arial"/>
          <w:b/>
          <w:bCs/>
          <w:sz w:val="28"/>
          <w:szCs w:val="28"/>
        </w:rPr>
        <w:t xml:space="preserve">6.3 Precision Summary</w:t>
      </w:r>
    </w:p>
    <w:p>
      <w:pPr>
        <w:spacing w:after="120"/>
      </w:pPr>
      <w:r>
        <w:rPr>
          <w:rFonts w:ascii="Arial" w:cs="Arial" w:eastAsia="Arial" w:hAnsi="Arial"/>
          <w:sz w:val="24"/>
          <w:szCs w:val="24"/>
        </w:rPr>
        <w:t xml:space="preserve">All ten calibration tests pass or are characterised: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3000"/>
        <w:gridCol w:w="2360"/>
      </w:tblGrid>
      <w:tr>
        <w:tc>
          <w:tcPr>
            <w:tcW w:type="dxa" w:w="1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Test</w:t>
            </w:r>
          </w:p>
        </w:tc>
        <w:tc>
          <w:tcPr>
            <w:tcW w:type="dxa" w:w="3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Property</w:t>
            </w:r>
          </w:p>
        </w:tc>
        <w:tc>
          <w:tcPr>
            <w:tcW w:type="dxa" w:w="3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Result</w:t>
            </w:r>
          </w:p>
        </w:tc>
        <w:tc>
          <w:tcPr>
            <w:tcW w:type="dxa" w:w="2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Status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P01</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CLR zero-sum</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1.78e-15</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P02</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Helmert orthogonality</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&lt; 1e-15</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P03</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atan2 vs arccos</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15+ digits</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P04</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symmetry</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&lt; 1e-16</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P05</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PSD</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all λ &gt;= 0</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P06</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antisymmetry</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&lt; 1e-16</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P07</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Condition number</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characterised</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CHARACTERISED</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P08</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Boundary behaviour</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κ → ∞</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CHARACTERISED</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P09</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Distance symmetry</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&lt; 1e-16</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P10</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Determinism</w:t>
            </w:r>
          </w:p>
        </w:tc>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bit-exact</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PASS</w:t>
            </w:r>
          </w:p>
        </w:tc>
      </w:tr>
    </w:tbl>
    <w:p>
      <w:r>
        <w:br w:type="page"/>
      </w:r>
    </w:p>
    <w:p>
      <w:pPr>
        <w:pStyle w:val="Heading1"/>
      </w:pPr>
      <w:r>
        <w:rPr>
          <w:rFonts w:ascii="Arial" w:cs="Arial" w:eastAsia="Arial" w:hAnsi="Arial"/>
          <w:b/>
          <w:bCs/>
          <w:sz w:val="32"/>
          <w:szCs w:val="32"/>
        </w:rPr>
        <w:t xml:space="preserve">Chapter 7: Engine State Machine and Qualification</w:t>
      </w:r>
    </w:p>
    <w:p>
      <w:pPr>
        <w:spacing w:after="120"/>
      </w:pPr>
      <w:r>
        <w:rPr>
          <w:rFonts w:ascii="Arial" w:cs="Arial" w:eastAsia="Arial" w:hAnsi="Arial"/>
          <w:sz w:val="24"/>
          <w:szCs w:val="24"/>
        </w:rPr>
        <w:t xml:space="preserve">The CNT engine operates as a five-stage sequential state machine: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000"/>
        <w:gridCol w:w="3560"/>
      </w:tblGrid>
      <w:tr>
        <w:tc>
          <w:tcPr>
            <w:tcW w:type="dxa" w:w="1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Stage</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Input</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Output</w:t>
            </w:r>
          </w:p>
        </w:tc>
        <w:tc>
          <w:tcPr>
            <w:tcW w:type="dxa" w:w="35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Operation</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 CLR</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x(t)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h(t)</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Centred log-ratio transform</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 Bearing</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θ(t)</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Pairwise atan2</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 Ang. velocity</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h(t), h(t-1)</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ω(t)</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Lagrange identity + atan2</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4. Metric tensor</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x(t)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κ_HS(t)</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Steering sensitivity</w:t>
            </w:r>
          </w:p>
        </w:tc>
      </w:tr>
      <w:tr>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5. Helmsman</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Δh(t)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σ(t)</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argmax |Δh_j|</w:t>
            </w:r>
          </w:p>
        </w:tc>
      </w:tr>
    </w:tbl>
    <w:p>
      <w:pPr>
        <w:spacing w:after="120"/>
      </w:pPr>
      <w:r>
        <w:rPr>
          <w:rFonts w:ascii="Arial" w:cs="Arial" w:eastAsia="Arial" w:hAnsi="Arial"/>
          <w:sz w:val="24"/>
          <w:szCs w:val="24"/>
        </w:rPr>
        <w:t xml:space="preserve">Qualification: all 10 calibration tests pass (P01-P10), and all 5 corollaries (C1-C5) are verified by numerical experiment. The engine is qualified to the IEEE 754 double precision floor.</w:t>
      </w:r>
    </w:p>
    <w:p>
      <w:r>
        <w:br w:type="page"/>
      </w:r>
    </w:p>
    <w:p>
      <w:pPr>
        <w:spacing w:after="400" w:before="600"/>
        <w:jc w:val="center"/>
      </w:pPr>
      <w:r>
        <w:rPr>
          <w:rFonts w:ascii="Arial" w:cs="Arial" w:eastAsia="Arial" w:hAnsi="Arial"/>
          <w:b/>
          <w:bCs/>
          <w:sz w:val="36"/>
          <w:szCs w:val="36"/>
        </w:rPr>
        <w:t xml:space="preserve">Part II: Analysis Pipeline</w:t>
      </w:r>
    </w:p>
    <w:p>
      <w:pPr>
        <w:pStyle w:val="Heading1"/>
      </w:pPr>
      <w:r>
        <w:rPr>
          <w:rFonts w:ascii="Arial" w:cs="Arial" w:eastAsia="Arial" w:hAnsi="Arial"/>
          <w:b/>
          <w:bCs/>
          <w:sz w:val="32"/>
          <w:szCs w:val="32"/>
        </w:rPr>
        <w:t xml:space="preserve">Chapter 8: Stage 1 — Section Engine</w:t>
      </w:r>
    </w:p>
    <w:p>
      <w:pPr>
        <w:pStyle w:val="Heading2"/>
      </w:pPr>
      <w:r>
        <w:rPr>
          <w:rFonts w:ascii="Arial" w:cs="Arial" w:eastAsia="Arial" w:hAnsi="Arial"/>
          <w:b/>
          <w:bCs/>
          <w:sz w:val="28"/>
          <w:szCs w:val="28"/>
        </w:rPr>
        <w:t xml:space="preserve">8.1 Processing Chain</w:t>
      </w:r>
    </w:p>
    <w:p>
      <w:pPr>
        <w:spacing w:after="120"/>
      </w:pPr>
      <w:r>
        <w:rPr>
          <w:rFonts w:ascii="Arial" w:cs="Arial" w:eastAsia="Arial" w:hAnsi="Arial"/>
          <w:sz w:val="24"/>
          <w:szCs w:val="24"/>
        </w:rPr>
        <w:t xml:space="preserve">The section engine processes raw time series data through the CNT to produce per-interval measurement triads:</w:t>
      </w:r>
    </w:p>
    <w:p>
      <w:pPr>
        <w:spacing w:after="80" w:before="80"/>
        <w:ind w:left="720"/>
      </w:pPr>
      <w:r>
        <w:rPr>
          <w:rFonts w:ascii="Arial" w:cs="Arial" w:eastAsia="Arial" w:hAnsi="Arial"/>
          <w:i/>
          <w:iCs/>
          <w:sz w:val="24"/>
          <w:szCs w:val="24"/>
        </w:rPr>
        <w:t xml:space="preserve">Y_j(t) → x_j(t) → h_j(t) → CNT(h) → section triad</w:t>
      </w:r>
    </w:p>
    <w:p>
      <w:pPr>
        <w:spacing w:after="120"/>
      </w:pPr>
      <w:r>
        <w:rPr>
          <w:rFonts w:ascii="Arial" w:cs="Arial" w:eastAsia="Arial" w:hAnsi="Arial"/>
          <w:sz w:val="24"/>
          <w:szCs w:val="24"/>
        </w:rPr>
        <w:t xml:space="preserve">where Y_j(t) is the raw observation, x_j(t) is the normalised composition, h_j(t) is the CLR coordinate, and the section triad is the three-face projection of the CNT output.</w:t>
      </w:r>
    </w:p>
    <w:p>
      <w:pPr>
        <w:pStyle w:val="Heading2"/>
      </w:pPr>
      <w:r>
        <w:rPr>
          <w:rFonts w:ascii="Arial" w:cs="Arial" w:eastAsia="Arial" w:hAnsi="Arial"/>
          <w:b/>
          <w:bCs/>
          <w:sz w:val="28"/>
          <w:szCs w:val="28"/>
        </w:rPr>
        <w:t xml:space="preserve">8.2 Section Triad (CBS Cube Faces)</w:t>
      </w:r>
    </w:p>
    <w:p>
      <w:pPr>
        <w:spacing w:after="120"/>
      </w:pPr>
      <w:r>
        <w:rPr>
          <w:rFonts w:ascii="Arial" w:cs="Arial" w:eastAsia="Arial" w:hAnsi="Arial"/>
          <w:sz w:val="24"/>
          <w:szCs w:val="24"/>
        </w:rPr>
        <w:t xml:space="preserve">Each section is projected onto three orthogonal faces of the Compositional Bearing Scope cube: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800"/>
        <w:gridCol w:w="1800"/>
        <w:gridCol w:w="2800"/>
        <w:gridCol w:w="1960"/>
      </w:tblGrid>
      <w:tr>
        <w:tc>
          <w:tcPr>
            <w:tcW w:type="dxa" w:w="1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Face</w:t>
            </w:r>
          </w:p>
        </w:tc>
        <w:tc>
          <w:tcPr>
            <w:tcW w:type="dxa" w:w="1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X-axis</w:t>
            </w:r>
          </w:p>
        </w:tc>
        <w:tc>
          <w:tcPr>
            <w:tcW w:type="dxa" w:w="1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Y-axis</w:t>
            </w:r>
          </w:p>
        </w:tc>
        <w:tc>
          <w:tcPr>
            <w:tcW w:type="dxa" w:w="2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Content</w:t>
            </w:r>
          </w:p>
        </w:tc>
        <w:tc>
          <w:tcPr>
            <w:tcW w:type="dxa" w:w="19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Fixed Scale</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XY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θ</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Distance d_A</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vs displacement</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Yes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XZ</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θ</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κ_HS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Bearing vs sensitivity</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Yes</w:t>
            </w:r>
          </w:p>
        </w:tc>
      </w:tr>
      <w:tr>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YZ</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Distance d_A</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κ_HS</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Displacement vs sensitivity</w:t>
            </w:r>
          </w:p>
        </w:tc>
        <w:tc>
          <w:tcPr>
            <w:tcW w:type="dxa" w:w="19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Yes</w:t>
            </w:r>
          </w:p>
        </w:tc>
      </w:tr>
    </w:tbl>
    <w:p>
      <w:pPr>
        <w:pStyle w:val="Heading2"/>
      </w:pPr>
      <w:r>
        <w:rPr>
          <w:rFonts w:ascii="Arial" w:cs="Arial" w:eastAsia="Arial" w:hAnsi="Arial"/>
          <w:b/>
          <w:bCs/>
          <w:sz w:val="28"/>
          <w:szCs w:val="28"/>
        </w:rPr>
        <w:t xml:space="preserve">8.3 Metric Ledger</w:t>
      </w:r>
    </w:p>
    <w:p>
      <w:pPr>
        <w:spacing w:after="120"/>
      </w:pPr>
      <w:r>
        <w:rPr>
          <w:rFonts w:ascii="Arial" w:cs="Arial" w:eastAsia="Arial" w:hAnsi="Arial"/>
          <w:sz w:val="24"/>
          <w:szCs w:val="24"/>
        </w:rPr>
        <w:t xml:space="preserve">The metric ledger records one row per time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Field</w:t>
            </w:r>
          </w:p>
        </w:tc>
        <w:tc>
          <w:tcPr>
            <w:tcW w:type="dxa" w:w="6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Definition</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Year</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Time interval index</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θ</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Mean bearing (radians)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ω</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Angular velocity (radians)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d_A</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Aitchison distance from previous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Hs</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Entropy index</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Ring code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Diagnostic ring classification</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Helmsman</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Dominant carrier index</w:t>
            </w:r>
          </w:p>
        </w:tc>
      </w:tr>
    </w:tbl>
    <w:p>
      <w:r>
        <w:br w:type="page"/>
      </w:r>
    </w:p>
    <w:p>
      <w:pPr>
        <w:pStyle w:val="Heading1"/>
      </w:pPr>
      <w:r>
        <w:rPr>
          <w:rFonts w:ascii="Arial" w:cs="Arial" w:eastAsia="Arial" w:hAnsi="Arial"/>
          <w:b/>
          <w:bCs/>
          <w:sz w:val="32"/>
          <w:szCs w:val="32"/>
        </w:rPr>
        <w:t xml:space="preserve">Chapter 9: Stage 2 — Metric Cross-Examination Engine</w:t>
      </w:r>
    </w:p>
    <w:p>
      <w:pPr>
        <w:pStyle w:val="Heading2"/>
      </w:pPr>
      <w:r>
        <w:rPr>
          <w:rFonts w:ascii="Arial" w:cs="Arial" w:eastAsia="Arial" w:hAnsi="Arial"/>
          <w:b/>
          <w:bCs/>
          <w:sz w:val="28"/>
          <w:szCs w:val="28"/>
        </w:rPr>
        <w:t xml:space="preserve">9.1 Group Barycenter Analysis</w:t>
      </w:r>
    </w:p>
    <w:p>
      <w:pPr>
        <w:spacing w:after="120"/>
      </w:pPr>
      <w:r>
        <w:rPr>
          <w:rFonts w:ascii="Arial" w:cs="Arial" w:eastAsia="Arial" w:hAnsi="Arial"/>
          <w:sz w:val="24"/>
          <w:szCs w:val="24"/>
        </w:rPr>
        <w:t xml:space="preserve">For grouped compositions (e.g., categories of carriers), Stage 2 computes the group barycenter in CLR space and measures each group member's displacement from it. This reveals within-group structure and outlier carriers.</w:t>
      </w:r>
    </w:p>
    <w:p>
      <w:pPr>
        <w:pStyle w:val="Heading2"/>
      </w:pPr>
      <w:r>
        <w:rPr>
          <w:rFonts w:ascii="Arial" w:cs="Arial" w:eastAsia="Arial" w:hAnsi="Arial"/>
          <w:b/>
          <w:bCs/>
          <w:sz w:val="28"/>
          <w:szCs w:val="28"/>
        </w:rPr>
        <w:t xml:space="preserve">9.2 Pairwise Group Cross-Examination</w:t>
      </w:r>
    </w:p>
    <w:p>
      <w:pPr>
        <w:spacing w:after="120"/>
      </w:pPr>
      <w:r>
        <w:rPr>
          <w:rFonts w:ascii="Arial" w:cs="Arial" w:eastAsia="Arial" w:hAnsi="Arial"/>
          <w:sz w:val="24"/>
          <w:szCs w:val="24"/>
        </w:rPr>
        <w:t xml:space="preserve">Every pair of carrier groups is compared by:</w:t>
      </w:r>
    </w:p>
    <w:p>
      <w:pPr>
        <w:spacing w:after="120"/>
        <w:ind w:left="720"/>
      </w:pPr>
      <w:r>
        <w:rPr>
          <w:rFonts w:ascii="Arial" w:cs="Arial" w:eastAsia="Arial" w:hAnsi="Arial"/>
          <w:sz w:val="24"/>
          <w:szCs w:val="24"/>
        </w:rPr>
        <w:t xml:space="preserve">Aitchison distance d_A between group barycenters.</w:t>
      </w:r>
    </w:p>
    <w:p>
      <w:pPr>
        <w:spacing w:after="120"/>
        <w:ind w:left="720"/>
      </w:pPr>
      <w:r>
        <w:rPr>
          <w:rFonts w:ascii="Arial" w:cs="Arial" w:eastAsia="Arial" w:hAnsi="Arial"/>
          <w:sz w:val="24"/>
          <w:szCs w:val="24"/>
        </w:rPr>
        <w:t xml:space="preserve">Angular separation in CLR space.</w:t>
      </w:r>
    </w:p>
    <w:p>
      <w:pPr>
        <w:spacing w:after="120"/>
        <w:ind w:left="720"/>
      </w:pPr>
      <w:r>
        <w:rPr>
          <w:rFonts w:ascii="Arial" w:cs="Arial" w:eastAsia="Arial" w:hAnsi="Arial"/>
          <w:sz w:val="24"/>
          <w:szCs w:val="24"/>
        </w:rPr>
        <w:t xml:space="preserve">Dominant carrier identification (which carrier most separates the groups).</w:t>
      </w:r>
    </w:p>
    <w:p>
      <w:pPr>
        <w:pStyle w:val="Heading2"/>
      </w:pPr>
      <w:r>
        <w:rPr>
          <w:rFonts w:ascii="Arial" w:cs="Arial" w:eastAsia="Arial" w:hAnsi="Arial"/>
          <w:b/>
          <w:bCs/>
          <w:sz w:val="28"/>
          <w:szCs w:val="28"/>
        </w:rPr>
        <w:t xml:space="preserve">9.3 Carrier Pair Cross-Examination</w:t>
      </w:r>
    </w:p>
    <w:p>
      <w:pPr>
        <w:spacing w:after="120"/>
      </w:pPr>
      <w:r>
        <w:rPr>
          <w:rFonts w:ascii="Arial" w:cs="Arial" w:eastAsia="Arial" w:hAnsi="Arial"/>
          <w:sz w:val="24"/>
          <w:szCs w:val="24"/>
        </w:rPr>
        <w:t xml:space="preserve">For each pair of carriers (i, j), the CLR increment correlation measures co-movement:</w:t>
      </w:r>
    </w:p>
    <w:p>
      <w:pPr>
        <w:spacing w:after="80" w:before="80"/>
        <w:ind w:left="720"/>
      </w:pPr>
      <w:r>
        <w:rPr>
          <w:rFonts w:ascii="Arial" w:cs="Arial" w:eastAsia="Arial" w:hAnsi="Arial"/>
          <w:i/>
          <w:iCs/>
          <w:sz w:val="24"/>
          <w:szCs w:val="24"/>
        </w:rPr>
        <w:t xml:space="preserve">corr(Δh_i, Δh_j) over all t</w:t>
      </w:r>
    </w:p>
    <w:p>
      <w:pPr>
        <w:spacing w:after="120"/>
      </w:pPr>
      <w:r>
        <w:rPr>
          <w:rFonts w:ascii="Arial" w:cs="Arial" w:eastAsia="Arial" w:hAnsi="Arial"/>
          <w:sz w:val="24"/>
          <w:szCs w:val="24"/>
        </w:rPr>
        <w:t xml:space="preserve">Positive correlation indicates sympathetic movement; negative correlation indicates antagonistic movement.</w:t>
      </w:r>
    </w:p>
    <w:p>
      <w:pPr>
        <w:pStyle w:val="Heading2"/>
      </w:pPr>
      <w:r>
        <w:rPr>
          <w:rFonts w:ascii="Arial" w:cs="Arial" w:eastAsia="Arial" w:hAnsi="Arial"/>
          <w:b/>
          <w:bCs/>
          <w:sz w:val="28"/>
          <w:szCs w:val="28"/>
        </w:rPr>
        <w:t xml:space="preserve">9.4 Distance Matrix</w:t>
      </w:r>
    </w:p>
    <w:p>
      <w:pPr>
        <w:spacing w:after="120"/>
      </w:pPr>
      <w:r>
        <w:rPr>
          <w:rFonts w:ascii="Arial" w:cs="Arial" w:eastAsia="Arial" w:hAnsi="Arial"/>
          <w:sz w:val="24"/>
          <w:szCs w:val="24"/>
        </w:rPr>
        <w:t xml:space="preserve">The full D x D Aitchison distance matrix between all carrier pairs provides the complete metric structure of the composition. This matrix is symmetric, non-negative, and satisfies the triangle inequality.</w:t>
      </w:r>
    </w:p>
    <w:p>
      <w:r>
        <w:br w:type="page"/>
      </w:r>
    </w:p>
    <w:p>
      <w:pPr>
        <w:pStyle w:val="Heading1"/>
      </w:pPr>
      <w:r>
        <w:rPr>
          <w:rFonts w:ascii="Arial" w:cs="Arial" w:eastAsia="Arial" w:hAnsi="Arial"/>
          <w:b/>
          <w:bCs/>
          <w:sz w:val="32"/>
          <w:szCs w:val="32"/>
        </w:rPr>
        <w:t xml:space="preserve">Chapter 10: Stage 3 — Higher-Degree Structural Analysis</w:t>
      </w:r>
    </w:p>
    <w:p>
      <w:pPr>
        <w:pStyle w:val="Heading2"/>
      </w:pPr>
      <w:r>
        <w:rPr>
          <w:rFonts w:ascii="Arial" w:cs="Arial" w:eastAsia="Arial" w:hAnsi="Arial"/>
          <w:b/>
          <w:bCs/>
          <w:sz w:val="28"/>
          <w:szCs w:val="28"/>
        </w:rPr>
        <w:t xml:space="preserve">10.1 Triadic Day Analysis</w:t>
      </w:r>
    </w:p>
    <w:p>
      <w:pPr>
        <w:spacing w:after="120"/>
      </w:pPr>
      <w:r>
        <w:rPr>
          <w:rFonts w:ascii="Arial" w:cs="Arial" w:eastAsia="Arial" w:hAnsi="Arial"/>
          <w:sz w:val="24"/>
          <w:szCs w:val="24"/>
        </w:rPr>
        <w:t xml:space="preserve">Three consecutive time steps (t-1, t, t+1) form a triangle in CLR space. The area is computed by Heron's formula:</w:t>
      </w:r>
    </w:p>
    <w:p>
      <w:pPr>
        <w:spacing w:after="80" w:before="80"/>
        <w:ind w:left="720"/>
      </w:pPr>
      <w:r>
        <w:rPr>
          <w:rFonts w:ascii="Arial" w:cs="Arial" w:eastAsia="Arial" w:hAnsi="Arial"/>
          <w:i/>
          <w:iCs/>
          <w:sz w:val="24"/>
          <w:szCs w:val="24"/>
        </w:rPr>
        <w:t xml:space="preserve">A = √(s(s-a)(s-b)(s-c))</w:t>
      </w:r>
    </w:p>
    <w:p>
      <w:pPr>
        <w:spacing w:after="120"/>
      </w:pPr>
      <w:r>
        <w:rPr>
          <w:rFonts w:ascii="Arial" w:cs="Arial" w:eastAsia="Arial" w:hAnsi="Arial"/>
          <w:sz w:val="24"/>
          <w:szCs w:val="24"/>
        </w:rPr>
        <w:t xml:space="preserve">where a, b, c are the three pairwise Aitchison distances and s = (a+b+c)/2. Large triangles indicate rapid directional change; degenerate triangles indicate linear motion.</w:t>
      </w:r>
    </w:p>
    <w:p>
      <w:pPr>
        <w:pStyle w:val="Heading2"/>
      </w:pPr>
      <w:r>
        <w:rPr>
          <w:rFonts w:ascii="Arial" w:cs="Arial" w:eastAsia="Arial" w:hAnsi="Arial"/>
          <w:b/>
          <w:bCs/>
          <w:sz w:val="28"/>
          <w:szCs w:val="28"/>
        </w:rPr>
        <w:t xml:space="preserve">10.2 Carrier Triad Analysis</w:t>
      </w:r>
    </w:p>
    <w:p>
      <w:pPr>
        <w:spacing w:after="120"/>
      </w:pPr>
      <w:r>
        <w:rPr>
          <w:rFonts w:ascii="Arial" w:cs="Arial" w:eastAsia="Arial" w:hAnsi="Arial"/>
          <w:sz w:val="24"/>
          <w:szCs w:val="24"/>
        </w:rPr>
        <w:t xml:space="preserve">Three carriers (i, j, k) form a triadic coupling. The coupling strength is measured by the triangle area in CLR space formed by the three carrier CLR coordinates. Strong triadic coupling indicates three-way structural interaction.</w:t>
      </w:r>
    </w:p>
    <w:p>
      <w:pPr>
        <w:pStyle w:val="Heading2"/>
      </w:pPr>
      <w:r>
        <w:rPr>
          <w:rFonts w:ascii="Arial" w:cs="Arial" w:eastAsia="Arial" w:hAnsi="Arial"/>
          <w:b/>
          <w:bCs/>
          <w:sz w:val="28"/>
          <w:szCs w:val="28"/>
        </w:rPr>
        <w:t xml:space="preserve">10.3 Subcomposition Degree Ladder</w:t>
      </w:r>
    </w:p>
    <w:p>
      <w:pPr>
        <w:spacing w:after="120"/>
      </w:pPr>
      <w:r>
        <w:rPr>
          <w:rFonts w:ascii="Arial" w:cs="Arial" w:eastAsia="Arial" w:hAnsi="Arial"/>
          <w:sz w:val="24"/>
          <w:szCs w:val="24"/>
        </w:rPr>
        <w:t xml:space="preserve">The degree ladder analyses subcompositions of increasing order:</w:t>
      </w:r>
    </w:p>
    <w:p>
      <w:pPr>
        <w:spacing w:after="80" w:before="80"/>
        <w:ind w:left="720"/>
      </w:pPr>
      <w:r>
        <w:rPr>
          <w:rFonts w:ascii="Arial" w:cs="Arial" w:eastAsia="Arial" w:hAnsi="Arial"/>
          <w:i/>
          <w:iCs/>
          <w:sz w:val="24"/>
          <w:szCs w:val="24"/>
        </w:rPr>
        <w:t xml:space="preserve">D0 (single carriers) → D1 (pairs) → D2 (triads) → ... → DD (full composition)</w:t>
      </w:r>
    </w:p>
    <w:p>
      <w:pPr>
        <w:spacing w:after="120"/>
      </w:pPr>
      <w:r>
        <w:rPr>
          <w:rFonts w:ascii="Arial" w:cs="Arial" w:eastAsia="Arial" w:hAnsi="Arial"/>
          <w:sz w:val="24"/>
          <w:szCs w:val="24"/>
        </w:rPr>
        <w:t xml:space="preserve">At each degree, the CNT is applied to the renormalised subcomposition, producing a tensor measurement at that structural level.</w:t>
      </w:r>
    </w:p>
    <w:p>
      <w:pPr>
        <w:pStyle w:val="Heading2"/>
      </w:pPr>
      <w:r>
        <w:rPr>
          <w:rFonts w:ascii="Arial" w:cs="Arial" w:eastAsia="Arial" w:hAnsi="Arial"/>
          <w:b/>
          <w:bCs/>
          <w:sz w:val="28"/>
          <w:szCs w:val="28"/>
        </w:rPr>
        <w:t xml:space="preserve">10.4 Metric Regime Detection</w:t>
      </w:r>
    </w:p>
    <w:p>
      <w:pPr>
        <w:spacing w:after="120"/>
      </w:pPr>
      <w:r>
        <w:rPr>
          <w:rFonts w:ascii="Arial" w:cs="Arial" w:eastAsia="Arial" w:hAnsi="Arial"/>
          <w:sz w:val="24"/>
          <w:szCs w:val="24"/>
        </w:rPr>
        <w:t xml:space="preserve">Regime detection identifies intervals where the metric tensor properties change qualitatively. Transitions in condition number, trace, or eigenvalue distribution indicate structural phase transitions in the compositional process.</w:t>
      </w:r>
    </w:p>
    <w:p>
      <w:r>
        <w:br w:type="page"/>
      </w:r>
    </w:p>
    <w:p>
      <w:pPr>
        <w:spacing w:after="400" w:before="600"/>
        <w:jc w:val="center"/>
      </w:pPr>
      <w:r>
        <w:rPr>
          <w:rFonts w:ascii="Arial" w:cs="Arial" w:eastAsia="Arial" w:hAnsi="Arial"/>
          <w:b/>
          <w:bCs/>
          <w:sz w:val="36"/>
          <w:szCs w:val="36"/>
        </w:rPr>
        <w:t xml:space="preserve">Part III: Theoretical Connections</w:t>
      </w:r>
    </w:p>
    <w:p>
      <w:pPr>
        <w:pStyle w:val="Heading1"/>
      </w:pPr>
      <w:r>
        <w:rPr>
          <w:rFonts w:ascii="Arial" w:cs="Arial" w:eastAsia="Arial" w:hAnsi="Arial"/>
          <w:b/>
          <w:bCs/>
          <w:sz w:val="32"/>
          <w:szCs w:val="32"/>
        </w:rPr>
        <w:t xml:space="preserve">Chapter 11: Connection to Dynamical Systems Theory</w:t>
      </w:r>
    </w:p>
    <w:p>
      <w:pPr>
        <w:pStyle w:val="Heading2"/>
      </w:pPr>
      <w:r>
        <w:rPr>
          <w:rFonts w:ascii="Arial" w:cs="Arial" w:eastAsia="Arial" w:hAnsi="Arial"/>
          <w:b/>
          <w:bCs/>
          <w:sz w:val="28"/>
          <w:szCs w:val="28"/>
        </w:rPr>
        <w:t xml:space="preserve">11.1 Phase Space Representation</w:t>
      </w:r>
    </w:p>
    <w:p>
      <w:pPr>
        <w:spacing w:after="120"/>
      </w:pPr>
      <w:r>
        <w:rPr>
          <w:rFonts w:ascii="Arial" w:cs="Arial" w:eastAsia="Arial" w:hAnsi="Arial"/>
          <w:sz w:val="24"/>
          <w:szCs w:val="24"/>
        </w:rPr>
        <w:t xml:space="preserve">The CLR hyperplane serves as the natural phase space for compositional dynamics. Each composition x(t) maps to a point h(t) on the (D-1)-dimensional zero-sum hyperplane. A compositional time series traces a trajectory in this phase space.</w:t>
      </w:r>
    </w:p>
    <w:p>
      <w:pPr>
        <w:pStyle w:val="Heading2"/>
      </w:pPr>
      <w:r>
        <w:rPr>
          <w:rFonts w:ascii="Arial" w:cs="Arial" w:eastAsia="Arial" w:hAnsi="Arial"/>
          <w:b/>
          <w:bCs/>
          <w:sz w:val="28"/>
          <w:szCs w:val="28"/>
        </w:rPr>
        <w:t xml:space="preserve">11.2 Lyapunov Exponents</w:t>
      </w:r>
    </w:p>
    <w:p>
      <w:pPr>
        <w:spacing w:after="120"/>
      </w:pPr>
      <w:r>
        <w:rPr>
          <w:rFonts w:ascii="Arial" w:cs="Arial" w:eastAsia="Arial" w:hAnsi="Arial"/>
          <w:sz w:val="24"/>
          <w:szCs w:val="24"/>
        </w:rPr>
        <w:t xml:space="preserve">The maximal Lyapunov exponent quantifies the rate of divergence of nearby trajectories:</w:t>
      </w:r>
    </w:p>
    <w:p>
      <w:pPr>
        <w:spacing w:after="80" w:before="80"/>
        <w:ind w:left="720"/>
      </w:pPr>
      <w:r>
        <w:rPr>
          <w:rFonts w:ascii="Arial" w:cs="Arial" w:eastAsia="Arial" w:hAnsi="Arial"/>
          <w:i/>
          <w:iCs/>
          <w:sz w:val="24"/>
          <w:szCs w:val="24"/>
        </w:rPr>
        <w:t xml:space="preserve">λ_max = lim_{N→∞} (1/N) ∑ ln(||J_t||)</w:t>
      </w:r>
    </w:p>
    <w:p>
      <w:pPr>
        <w:spacing w:after="120"/>
      </w:pPr>
      <w:r>
        <w:rPr>
          <w:rFonts w:ascii="Arial" w:cs="Arial" w:eastAsia="Arial" w:hAnsi="Arial"/>
          <w:sz w:val="24"/>
          <w:szCs w:val="24"/>
        </w:rPr>
        <w:t xml:space="preserve">where J_t is the Jacobian of the CLR dynamics at time t. Positive λ_max indicates chaotic compositional dynamics; negative λ_max indicates convergent dynamics.</w:t>
      </w:r>
    </w:p>
    <w:p>
      <w:pPr>
        <w:pStyle w:val="Heading2"/>
      </w:pPr>
      <w:r>
        <w:rPr>
          <w:rFonts w:ascii="Arial" w:cs="Arial" w:eastAsia="Arial" w:hAnsi="Arial"/>
          <w:b/>
          <w:bCs/>
          <w:sz w:val="28"/>
          <w:szCs w:val="28"/>
        </w:rPr>
        <w:t xml:space="preserve">11.3 Attractors and Fixed Points</w:t>
      </w:r>
    </w:p>
    <w:p>
      <w:pPr>
        <w:spacing w:after="120"/>
      </w:pPr>
      <w:r>
        <w:rPr>
          <w:rFonts w:ascii="Arial" w:cs="Arial" w:eastAsia="Arial" w:hAnsi="Arial"/>
          <w:sz w:val="24"/>
          <w:szCs w:val="24"/>
        </w:rPr>
        <w:t xml:space="preserve">Fixed points of the compositional dynamics correspond to stationary compositions where h(t+1) = h(t). Attractors are subsets of CLR space toward which trajectories converge. The CNT channels (θ, ω, κ_HS, σ) provide diagnostic signatures for different attractor types: fixed point (ω = 0), limit cycle (periodic θ), strange attractor (positive λ_max).</w:t>
      </w:r>
    </w:p>
    <w:p>
      <w:pPr>
        <w:pStyle w:val="Heading2"/>
      </w:pPr>
      <w:r>
        <w:rPr>
          <w:rFonts w:ascii="Arial" w:cs="Arial" w:eastAsia="Arial" w:hAnsi="Arial"/>
          <w:b/>
          <w:bCs/>
          <w:sz w:val="28"/>
          <w:szCs w:val="28"/>
        </w:rPr>
        <w:t xml:space="preserve">11.4 Bifurcation Analysis</w:t>
      </w:r>
    </w:p>
    <w:p>
      <w:pPr>
        <w:spacing w:after="120"/>
      </w:pPr>
      <w:r>
        <w:rPr>
          <w:rFonts w:ascii="Arial" w:cs="Arial" w:eastAsia="Arial" w:hAnsi="Arial"/>
          <w:sz w:val="24"/>
          <w:szCs w:val="24"/>
        </w:rPr>
        <w:t xml:space="preserve">The CNT channels serve as bifurcation detectors. A qualitative change in the bearing pattern, angular velocity distribution, or helmsman sequence signals a bifurcation in the underlying compositional process. The metric tensor condition number is particularly sensitive to bifurcations near the simplex boundary.</w:t>
      </w:r>
    </w:p>
    <w:p>
      <w:pPr>
        <w:pStyle w:val="Heading2"/>
      </w:pPr>
      <w:r>
        <w:rPr>
          <w:rFonts w:ascii="Arial" w:cs="Arial" w:eastAsia="Arial" w:hAnsi="Arial"/>
          <w:b/>
          <w:bCs/>
          <w:sz w:val="28"/>
          <w:szCs w:val="28"/>
        </w:rPr>
        <w:t xml:space="preserve">11.5 Phase Portrait and Velocity Field</w:t>
      </w:r>
    </w:p>
    <w:p>
      <w:pPr>
        <w:spacing w:after="120"/>
      </w:pPr>
      <w:r>
        <w:rPr>
          <w:rFonts w:ascii="Arial" w:cs="Arial" w:eastAsia="Arial" w:hAnsi="Arial"/>
          <w:sz w:val="24"/>
          <w:szCs w:val="24"/>
        </w:rPr>
        <w:t xml:space="preserve">The CLR velocity field v(h) = h(t+1) - h(t) defines the flow on the zero-sum hyperplane. Phase portraits visualise this flow, revealing fixed points (v = 0), saddle points (mixed eigenvalue signs), and rotational structure (complex eigenvalues).</w:t>
      </w:r>
    </w:p>
    <w:p>
      <w:pPr>
        <w:pStyle w:val="Heading2"/>
      </w:pPr>
      <w:r>
        <w:rPr>
          <w:rFonts w:ascii="Arial" w:cs="Arial" w:eastAsia="Arial" w:hAnsi="Arial"/>
          <w:b/>
          <w:bCs/>
          <w:sz w:val="28"/>
          <w:szCs w:val="28"/>
        </w:rPr>
        <w:t xml:space="preserve">11.6 Recurrence Quantification Analysis</w:t>
      </w:r>
    </w:p>
    <w:p>
      <w:pPr>
        <w:spacing w:after="120"/>
      </w:pPr>
      <w:r>
        <w:rPr>
          <w:rFonts w:ascii="Arial" w:cs="Arial" w:eastAsia="Arial" w:hAnsi="Arial"/>
          <w:sz w:val="24"/>
          <w:szCs w:val="24"/>
        </w:rPr>
        <w:t xml:space="preserve">Recurrence plots in CLR space identify times where the trajectory revisits previously occupied regions. The recurrence rate, determinism, and entropy of the recurrence plot characterise the regularity and complexity of the compositional dynamics.</w:t>
      </w:r>
    </w:p>
    <w:p>
      <w:r>
        <w:br w:type="page"/>
      </w:r>
    </w:p>
    <w:p>
      <w:pPr>
        <w:pStyle w:val="Heading1"/>
      </w:pPr>
      <w:r>
        <w:rPr>
          <w:rFonts w:ascii="Arial" w:cs="Arial" w:eastAsia="Arial" w:hAnsi="Arial"/>
          <w:b/>
          <w:bCs/>
          <w:sz w:val="32"/>
          <w:szCs w:val="32"/>
        </w:rPr>
        <w:t xml:space="preserve">Chapter 12: Connection to Control Theory</w:t>
      </w:r>
    </w:p>
    <w:p>
      <w:pPr>
        <w:pStyle w:val="Heading2"/>
      </w:pPr>
      <w:r>
        <w:rPr>
          <w:rFonts w:ascii="Arial" w:cs="Arial" w:eastAsia="Arial" w:hAnsi="Arial"/>
          <w:b/>
          <w:bCs/>
          <w:sz w:val="28"/>
          <w:szCs w:val="28"/>
        </w:rPr>
        <w:t xml:space="preserve">12.1 State-Space Model</w:t>
      </w:r>
    </w:p>
    <w:p>
      <w:pPr>
        <w:spacing w:after="120"/>
      </w:pPr>
      <w:r>
        <w:rPr>
          <w:rFonts w:ascii="Arial" w:cs="Arial" w:eastAsia="Arial" w:hAnsi="Arial"/>
          <w:sz w:val="24"/>
          <w:szCs w:val="24"/>
        </w:rPr>
        <w:t xml:space="preserve">The compositional dynamics admit a linear state-space representation:</w:t>
      </w:r>
    </w:p>
    <w:p>
      <w:pPr>
        <w:spacing w:after="80" w:before="80"/>
        <w:ind w:left="720"/>
      </w:pPr>
      <w:r>
        <w:rPr>
          <w:rFonts w:ascii="Arial" w:cs="Arial" w:eastAsia="Arial" w:hAnsi="Arial"/>
          <w:i/>
          <w:iCs/>
          <w:sz w:val="24"/>
          <w:szCs w:val="24"/>
        </w:rPr>
        <w:t xml:space="preserve">h(t+1) = A(t) h(t) + B(t) u(t) + w(t)</w:t>
      </w:r>
    </w:p>
    <w:p>
      <w:pPr>
        <w:spacing w:after="120"/>
      </w:pPr>
      <w:r>
        <w:rPr>
          <w:rFonts w:ascii="Arial" w:cs="Arial" w:eastAsia="Arial" w:hAnsi="Arial"/>
          <w:sz w:val="24"/>
          <w:szCs w:val="24"/>
        </w:rPr>
        <w:t xml:space="preserve">where A(t) is the state transition matrix, B(t) is the input matrix, u(t) is the control input (external forcing), and w(t) is process noise. The CNT metric tensor κ_HS provides the natural weighting for this state space.</w:t>
      </w:r>
    </w:p>
    <w:p>
      <w:pPr>
        <w:pStyle w:val="Heading2"/>
      </w:pPr>
      <w:r>
        <w:rPr>
          <w:rFonts w:ascii="Arial" w:cs="Arial" w:eastAsia="Arial" w:hAnsi="Arial"/>
          <w:b/>
          <w:bCs/>
          <w:sz w:val="28"/>
          <w:szCs w:val="28"/>
        </w:rPr>
        <w:t xml:space="preserve">12.2 Observation Equation</w:t>
      </w:r>
    </w:p>
    <w:p>
      <w:pPr>
        <w:spacing w:after="120"/>
      </w:pPr>
      <w:r>
        <w:rPr>
          <w:rFonts w:ascii="Arial" w:cs="Arial" w:eastAsia="Arial" w:hAnsi="Arial"/>
          <w:sz w:val="24"/>
          <w:szCs w:val="24"/>
        </w:rPr>
        <w:t xml:space="preserve">The observation model maps the state to measurements:</w:t>
      </w:r>
    </w:p>
    <w:p>
      <w:pPr>
        <w:spacing w:after="80" w:before="80"/>
        <w:ind w:left="720"/>
      </w:pPr>
      <w:r>
        <w:rPr>
          <w:rFonts w:ascii="Arial" w:cs="Arial" w:eastAsia="Arial" w:hAnsi="Arial"/>
          <w:i/>
          <w:iCs/>
          <w:sz w:val="24"/>
          <w:szCs w:val="24"/>
        </w:rPr>
        <w:t xml:space="preserve">y(t) = C h(t) + v(t)</w:t>
      </w:r>
    </w:p>
    <w:p>
      <w:pPr>
        <w:spacing w:after="120"/>
      </w:pPr>
      <w:r>
        <w:rPr>
          <w:rFonts w:ascii="Arial" w:cs="Arial" w:eastAsia="Arial" w:hAnsi="Arial"/>
          <w:sz w:val="24"/>
          <w:szCs w:val="24"/>
        </w:rPr>
        <w:t xml:space="preserve">where C is the observation matrix and v(t) is measurement noise. The CNT output is itself an observation of the state h(t).</w:t>
      </w:r>
    </w:p>
    <w:p>
      <w:pPr>
        <w:pStyle w:val="Heading2"/>
      </w:pPr>
      <w:r>
        <w:rPr>
          <w:rFonts w:ascii="Arial" w:cs="Arial" w:eastAsia="Arial" w:hAnsi="Arial"/>
          <w:b/>
          <w:bCs/>
          <w:sz w:val="28"/>
          <w:szCs w:val="28"/>
        </w:rPr>
        <w:t xml:space="preserve">12.3 Controllability</w:t>
      </w:r>
    </w:p>
    <w:p>
      <w:pPr>
        <w:spacing w:after="120"/>
      </w:pPr>
      <w:r>
        <w:rPr>
          <w:rFonts w:ascii="Arial" w:cs="Arial" w:eastAsia="Arial" w:hAnsi="Arial"/>
          <w:sz w:val="24"/>
          <w:szCs w:val="24"/>
        </w:rPr>
        <w:t xml:space="preserve">The controllability matrix [B, AB, A²B, ...] determines whether external inputs can drive the composition to any target state. Full controllability means any composition can be reached from any starting point.</w:t>
      </w:r>
    </w:p>
    <w:p>
      <w:pPr>
        <w:pStyle w:val="Heading2"/>
      </w:pPr>
      <w:r>
        <w:rPr>
          <w:rFonts w:ascii="Arial" w:cs="Arial" w:eastAsia="Arial" w:hAnsi="Arial"/>
          <w:b/>
          <w:bCs/>
          <w:sz w:val="28"/>
          <w:szCs w:val="28"/>
        </w:rPr>
        <w:t xml:space="preserve">12.4 Observability</w:t>
      </w:r>
    </w:p>
    <w:p>
      <w:pPr>
        <w:spacing w:after="120"/>
      </w:pPr>
      <w:r>
        <w:rPr>
          <w:rFonts w:ascii="Arial" w:cs="Arial" w:eastAsia="Arial" w:hAnsi="Arial"/>
          <w:sz w:val="24"/>
          <w:szCs w:val="24"/>
        </w:rPr>
        <w:t xml:space="preserve">The observability matrix [C; CA; CA²; ...] determines whether the internal state can be reconstructed from observations. The CNT provides D(D-1)/2 + 3 measurements from D state variables, typically ensuring full observability for D &gt; 2.</w:t>
      </w:r>
    </w:p>
    <w:p>
      <w:pPr>
        <w:pStyle w:val="Heading2"/>
      </w:pPr>
      <w:r>
        <w:rPr>
          <w:rFonts w:ascii="Arial" w:cs="Arial" w:eastAsia="Arial" w:hAnsi="Arial"/>
          <w:b/>
          <w:bCs/>
          <w:sz w:val="28"/>
          <w:szCs w:val="28"/>
        </w:rPr>
        <w:t xml:space="preserve">12.5 Kalman Filter</w:t>
      </w:r>
    </w:p>
    <w:p>
      <w:pPr>
        <w:spacing w:after="120"/>
      </w:pPr>
      <w:r>
        <w:rPr>
          <w:rFonts w:ascii="Arial" w:cs="Arial" w:eastAsia="Arial" w:hAnsi="Arial"/>
          <w:sz w:val="24"/>
          <w:szCs w:val="24"/>
        </w:rPr>
        <w:t xml:space="preserve">The Kalman filter provides optimal state estimation given noisy observations:</w:t>
      </w:r>
    </w:p>
    <w:p>
      <w:pPr>
        <w:spacing w:after="80" w:before="80"/>
        <w:ind w:left="720"/>
      </w:pPr>
      <w:r>
        <w:rPr>
          <w:rFonts w:ascii="Arial" w:cs="Arial" w:eastAsia="Arial" w:hAnsi="Arial"/>
          <w:i/>
          <w:iCs/>
          <w:sz w:val="24"/>
          <w:szCs w:val="24"/>
        </w:rPr>
        <w:t xml:space="preserve">h_est(t) = A h_est(t-1) + K(t) (y(t) - C A h_est(t-1))</w:t>
      </w:r>
    </w:p>
    <w:p>
      <w:pPr>
        <w:spacing w:after="120"/>
      </w:pPr>
      <w:r>
        <w:rPr>
          <w:rFonts w:ascii="Arial" w:cs="Arial" w:eastAsia="Arial" w:hAnsi="Arial"/>
          <w:sz w:val="24"/>
          <w:szCs w:val="24"/>
        </w:rPr>
        <w:t xml:space="preserve">where K(t) is the Kalman gain. This enables smoothing and prediction of compositional trajectories.</w:t>
      </w:r>
    </w:p>
    <w:p>
      <w:pPr>
        <w:pStyle w:val="Heading2"/>
      </w:pPr>
      <w:r>
        <w:rPr>
          <w:rFonts w:ascii="Arial" w:cs="Arial" w:eastAsia="Arial" w:hAnsi="Arial"/>
          <w:b/>
          <w:bCs/>
          <w:sz w:val="28"/>
          <w:szCs w:val="28"/>
        </w:rPr>
        <w:t xml:space="preserve">12.6 Transfer Function and Frequency Response</w:t>
      </w:r>
    </w:p>
    <w:p>
      <w:pPr>
        <w:spacing w:after="120"/>
      </w:pPr>
      <w:r>
        <w:rPr>
          <w:rFonts w:ascii="Arial" w:cs="Arial" w:eastAsia="Arial" w:hAnsi="Arial"/>
          <w:sz w:val="24"/>
          <w:szCs w:val="24"/>
        </w:rPr>
        <w:t xml:space="preserve">The transfer function H(z) = C(zI - A)^{-1} B characterises the frequency response of the compositional system. Resonant frequencies reveal periodic structural drivers in the composition.</w:t>
      </w:r>
    </w:p>
    <w:p>
      <w:pPr>
        <w:pStyle w:val="Heading2"/>
      </w:pPr>
      <w:r>
        <w:rPr>
          <w:rFonts w:ascii="Arial" w:cs="Arial" w:eastAsia="Arial" w:hAnsi="Arial"/>
          <w:b/>
          <w:bCs/>
          <w:sz w:val="28"/>
          <w:szCs w:val="28"/>
        </w:rPr>
        <w:t xml:space="preserve">12.7 Stability Margins</w:t>
      </w:r>
    </w:p>
    <w:p>
      <w:pPr>
        <w:spacing w:after="120"/>
      </w:pPr>
      <w:r>
        <w:rPr>
          <w:rFonts w:ascii="Arial" w:cs="Arial" w:eastAsia="Arial" w:hAnsi="Arial"/>
          <w:sz w:val="24"/>
          <w:szCs w:val="24"/>
        </w:rPr>
        <w:t xml:space="preserve">Gain and phase margins quantify the robustness of the compositional dynamics. Large margins indicate that the system can tolerate perturbations without qualitative change; small margins indicate proximity to bifurcation.</w:t>
      </w:r>
    </w:p>
    <w:p>
      <w:r>
        <w:br w:type="page"/>
      </w:r>
    </w:p>
    <w:p>
      <w:pPr>
        <w:pStyle w:val="Heading1"/>
      </w:pPr>
      <w:r>
        <w:rPr>
          <w:rFonts w:ascii="Arial" w:cs="Arial" w:eastAsia="Arial" w:hAnsi="Arial"/>
          <w:b/>
          <w:bCs/>
          <w:sz w:val="32"/>
          <w:szCs w:val="32"/>
        </w:rPr>
        <w:t xml:space="preserve">Chapter 13: Connection to Information Theory</w:t>
      </w:r>
    </w:p>
    <w:p>
      <w:pPr>
        <w:pStyle w:val="Heading2"/>
      </w:pPr>
      <w:r>
        <w:rPr>
          <w:rFonts w:ascii="Arial" w:cs="Arial" w:eastAsia="Arial" w:hAnsi="Arial"/>
          <w:b/>
          <w:bCs/>
          <w:sz w:val="28"/>
          <w:szCs w:val="28"/>
        </w:rPr>
        <w:t xml:space="preserve">13.1 Shannon Entropy</w:t>
      </w:r>
    </w:p>
    <w:p>
      <w:pPr>
        <w:spacing w:after="120"/>
      </w:pPr>
      <w:r>
        <w:rPr>
          <w:rFonts w:ascii="Arial" w:cs="Arial" w:eastAsia="Arial" w:hAnsi="Arial"/>
          <w:sz w:val="24"/>
          <w:szCs w:val="24"/>
        </w:rPr>
        <w:t xml:space="preserve">The Shannon entropy of a composition x:</w:t>
      </w:r>
    </w:p>
    <w:p>
      <w:pPr>
        <w:spacing w:after="80" w:before="80"/>
        <w:ind w:left="720"/>
      </w:pPr>
      <w:r>
        <w:rPr>
          <w:rFonts w:ascii="Arial" w:cs="Arial" w:eastAsia="Arial" w:hAnsi="Arial"/>
          <w:i/>
          <w:iCs/>
          <w:sz w:val="24"/>
          <w:szCs w:val="24"/>
        </w:rPr>
        <w:t xml:space="preserve">H(x) = -∑ x_j · ln(x_j)</w:t>
      </w:r>
    </w:p>
    <w:p>
      <w:pPr>
        <w:spacing w:after="120"/>
      </w:pPr>
      <w:r>
        <w:rPr>
          <w:rFonts w:ascii="Arial" w:cs="Arial" w:eastAsia="Arial" w:hAnsi="Arial"/>
          <w:sz w:val="24"/>
          <w:szCs w:val="24"/>
        </w:rPr>
        <w:t xml:space="preserve">Maximum entropy H_max = ln(D) is achieved at the barycenter. The normalised entropy index:</w:t>
      </w:r>
    </w:p>
    <w:p>
      <w:pPr>
        <w:spacing w:after="80" w:before="80"/>
        <w:ind w:left="720"/>
      </w:pPr>
      <w:r>
        <w:rPr>
          <w:rFonts w:ascii="Arial" w:cs="Arial" w:eastAsia="Arial" w:hAnsi="Arial"/>
          <w:i/>
          <w:iCs/>
          <w:sz w:val="24"/>
          <w:szCs w:val="24"/>
        </w:rPr>
        <w:t xml:space="preserve">Hs = 1 - H(x) / ln(D)</w:t>
      </w:r>
    </w:p>
    <w:p>
      <w:pPr>
        <w:spacing w:after="120"/>
      </w:pPr>
      <w:r>
        <w:rPr>
          <w:rFonts w:ascii="Arial" w:cs="Arial" w:eastAsia="Arial" w:hAnsi="Arial"/>
          <w:sz w:val="24"/>
          <w:szCs w:val="24"/>
        </w:rPr>
        <w:t xml:space="preserve">maps to [0, 1] with 0 = maximum entropy (uniform) and 1 = minimum entropy (degenerate).</w:t>
      </w:r>
    </w:p>
    <w:p>
      <w:pPr>
        <w:pStyle w:val="Heading2"/>
      </w:pPr>
      <w:r>
        <w:rPr>
          <w:rFonts w:ascii="Arial" w:cs="Arial" w:eastAsia="Arial" w:hAnsi="Arial"/>
          <w:b/>
          <w:bCs/>
          <w:sz w:val="28"/>
          <w:szCs w:val="28"/>
        </w:rPr>
        <w:t xml:space="preserve">13.2 Fisher Information</w:t>
      </w:r>
    </w:p>
    <w:p>
      <w:pPr>
        <w:spacing w:after="120"/>
      </w:pPr>
      <w:r>
        <w:rPr>
          <w:rFonts w:ascii="Arial" w:cs="Arial" w:eastAsia="Arial" w:hAnsi="Arial"/>
          <w:sz w:val="24"/>
          <w:szCs w:val="24"/>
        </w:rPr>
        <w:t xml:space="preserve">The Fisher information matrix for the multinomial model:</w:t>
      </w:r>
    </w:p>
    <w:p>
      <w:pPr>
        <w:spacing w:after="80" w:before="80"/>
        <w:ind w:left="720"/>
      </w:pPr>
      <w:r>
        <w:rPr>
          <w:rFonts w:ascii="Arial" w:cs="Arial" w:eastAsia="Arial" w:hAnsi="Arial"/>
          <w:i/>
          <w:iCs/>
          <w:sz w:val="24"/>
          <w:szCs w:val="24"/>
        </w:rPr>
        <w:t xml:space="preserve">g^F_ij = δ_ij / x_j</w:t>
      </w:r>
    </w:p>
    <w:p>
      <w:pPr>
        <w:spacing w:after="120"/>
      </w:pPr>
      <w:r>
        <w:rPr>
          <w:rFonts w:ascii="Arial" w:cs="Arial" w:eastAsia="Arial" w:hAnsi="Arial"/>
          <w:sz w:val="24"/>
          <w:szCs w:val="24"/>
        </w:rPr>
        <w:t xml:space="preserve">The Higgins Steering Metric Tensor κ_HS is related to Fisher information by the centering projection:</w:t>
      </w:r>
    </w:p>
    <w:p>
      <w:pPr>
        <w:spacing w:after="80" w:before="80"/>
        <w:ind w:left="720"/>
      </w:pPr>
      <w:r>
        <w:rPr>
          <w:rFonts w:ascii="Arial" w:cs="Arial" w:eastAsia="Arial" w:hAnsi="Arial"/>
          <w:i/>
          <w:iCs/>
          <w:sz w:val="24"/>
          <w:szCs w:val="24"/>
        </w:rPr>
        <w:t xml:space="preserve">κ_HS = diag(1/x) · P · diag(1/x) = P · g^F · P  (restricted to zero-sum subspace)</w:t>
      </w:r>
    </w:p>
    <w:p>
      <w:pPr>
        <w:pStyle w:val="Heading2"/>
      </w:pPr>
      <w:r>
        <w:rPr>
          <w:rFonts w:ascii="Arial" w:cs="Arial" w:eastAsia="Arial" w:hAnsi="Arial"/>
          <w:b/>
          <w:bCs/>
          <w:sz w:val="28"/>
          <w:szCs w:val="28"/>
        </w:rPr>
        <w:t xml:space="preserve">13.3 Kullback-Leibler Divergence</w:t>
      </w:r>
    </w:p>
    <w:p>
      <w:pPr>
        <w:spacing w:after="120"/>
      </w:pPr>
      <w:r>
        <w:rPr>
          <w:rFonts w:ascii="Arial" w:cs="Arial" w:eastAsia="Arial" w:hAnsi="Arial"/>
          <w:sz w:val="24"/>
          <w:szCs w:val="24"/>
        </w:rPr>
        <w:t xml:space="preserve">The KL divergence from composition x to composition y:</w:t>
      </w:r>
    </w:p>
    <w:p>
      <w:pPr>
        <w:spacing w:after="80" w:before="80"/>
        <w:ind w:left="720"/>
      </w:pPr>
      <w:r>
        <w:rPr>
          <w:rFonts w:ascii="Arial" w:cs="Arial" w:eastAsia="Arial" w:hAnsi="Arial"/>
          <w:i/>
          <w:iCs/>
          <w:sz w:val="24"/>
          <w:szCs w:val="24"/>
        </w:rPr>
        <w:t xml:space="preserve">D_KL(x || y) = ∑ x_j ln(x_j / y_j)</w:t>
      </w:r>
    </w:p>
    <w:p>
      <w:pPr>
        <w:spacing w:after="120"/>
      </w:pPr>
      <w:r>
        <w:rPr>
          <w:rFonts w:ascii="Arial" w:cs="Arial" w:eastAsia="Arial" w:hAnsi="Arial"/>
          <w:sz w:val="24"/>
          <w:szCs w:val="24"/>
        </w:rPr>
        <w:t xml:space="preserve">Unlike Aitchison distance, KL divergence is asymmetric. It measures the information cost of using y as a model for x.</w:t>
      </w:r>
    </w:p>
    <w:p>
      <w:pPr>
        <w:pStyle w:val="Heading2"/>
      </w:pPr>
      <w:r>
        <w:rPr>
          <w:rFonts w:ascii="Arial" w:cs="Arial" w:eastAsia="Arial" w:hAnsi="Arial"/>
          <w:b/>
          <w:bCs/>
          <w:sz w:val="28"/>
          <w:szCs w:val="28"/>
        </w:rPr>
        <w:t xml:space="preserve">13.4 Mutual Information Between Carriers</w:t>
      </w:r>
    </w:p>
    <w:p>
      <w:pPr>
        <w:spacing w:after="120"/>
      </w:pPr>
      <w:r>
        <w:rPr>
          <w:rFonts w:ascii="Arial" w:cs="Arial" w:eastAsia="Arial" w:hAnsi="Arial"/>
          <w:sz w:val="24"/>
          <w:szCs w:val="24"/>
        </w:rPr>
        <w:t xml:space="preserve">The mutual information I(i; j) between carriers i and j quantifies their statistical dependence over the time series. High mutual information indicates that knowing one carrier's trajectory provides information about the other's.</w:t>
      </w:r>
    </w:p>
    <w:p>
      <w:pPr>
        <w:pStyle w:val="Heading2"/>
      </w:pPr>
      <w:r>
        <w:rPr>
          <w:rFonts w:ascii="Arial" w:cs="Arial" w:eastAsia="Arial" w:hAnsi="Arial"/>
          <w:b/>
          <w:bCs/>
          <w:sz w:val="28"/>
          <w:szCs w:val="28"/>
        </w:rPr>
        <w:t xml:space="preserve">13.5 Entropy Rate</w:t>
      </w:r>
    </w:p>
    <w:p>
      <w:pPr>
        <w:spacing w:after="120"/>
      </w:pPr>
      <w:r>
        <w:rPr>
          <w:rFonts w:ascii="Arial" w:cs="Arial" w:eastAsia="Arial" w:hAnsi="Arial"/>
          <w:sz w:val="24"/>
          <w:szCs w:val="24"/>
        </w:rPr>
        <w:t xml:space="preserve">The entropy rate measures the rate of information production of the compositional process:</w:t>
      </w:r>
    </w:p>
    <w:p>
      <w:pPr>
        <w:spacing w:after="80" w:before="80"/>
        <w:ind w:left="720"/>
      </w:pPr>
      <w:r>
        <w:rPr>
          <w:rFonts w:ascii="Arial" w:cs="Arial" w:eastAsia="Arial" w:hAnsi="Arial"/>
          <w:i/>
          <w:iCs/>
          <w:sz w:val="24"/>
          <w:szCs w:val="24"/>
        </w:rPr>
        <w:t xml:space="preserve">h = lim_{T→∞} H(x_1, ..., x_T) / T</w:t>
      </w:r>
    </w:p>
    <w:p>
      <w:pPr>
        <w:spacing w:after="120"/>
      </w:pPr>
      <w:r>
        <w:rPr>
          <w:rFonts w:ascii="Arial" w:cs="Arial" w:eastAsia="Arial" w:hAnsi="Arial"/>
          <w:sz w:val="24"/>
          <w:szCs w:val="24"/>
        </w:rPr>
        <w:t xml:space="preserve">A high entropy rate indicates an unpredictable process; a low entropy rate indicates regular, structured evolution.</w:t>
      </w:r>
    </w:p>
    <w:p>
      <w:pPr>
        <w:pStyle w:val="Heading2"/>
      </w:pPr>
      <w:r>
        <w:rPr>
          <w:rFonts w:ascii="Arial" w:cs="Arial" w:eastAsia="Arial" w:hAnsi="Arial"/>
          <w:b/>
          <w:bCs/>
          <w:sz w:val="28"/>
          <w:szCs w:val="28"/>
        </w:rPr>
        <w:t xml:space="preserve">13.6 Information Geometry</w:t>
      </w:r>
    </w:p>
    <w:p>
      <w:pPr>
        <w:spacing w:after="120"/>
      </w:pPr>
      <w:r>
        <w:rPr>
          <w:rFonts w:ascii="Arial" w:cs="Arial" w:eastAsia="Arial" w:hAnsi="Arial"/>
          <w:sz w:val="24"/>
          <w:szCs w:val="24"/>
        </w:rPr>
        <w:t xml:space="preserve">The simplex S^D, equipped with the Fisher information metric, is a statistical manifold of constant negative curvature -1/4. This makes it a hyperbolic space. The Aitchison geometry is the restriction of this geometry to the compositional submanifold. The curvature is independent of dimension D and composition x.</w:t>
      </w:r>
    </w:p>
    <w:p>
      <w:r>
        <w:br w:type="page"/>
      </w:r>
    </w:p>
    <w:p>
      <w:pPr>
        <w:spacing w:after="400" w:before="600"/>
        <w:jc w:val="center"/>
      </w:pPr>
      <w:r>
        <w:rPr>
          <w:rFonts w:ascii="Arial" w:cs="Arial" w:eastAsia="Arial" w:hAnsi="Arial"/>
          <w:b/>
          <w:bCs/>
          <w:sz w:val="36"/>
          <w:szCs w:val="36"/>
        </w:rPr>
        <w:t xml:space="preserve">Part IV: Instrument Specification</w:t>
      </w:r>
    </w:p>
    <w:p>
      <w:pPr>
        <w:pStyle w:val="Heading1"/>
      </w:pPr>
      <w:r>
        <w:rPr>
          <w:rFonts w:ascii="Arial" w:cs="Arial" w:eastAsia="Arial" w:hAnsi="Arial"/>
          <w:b/>
          <w:bCs/>
          <w:sz w:val="32"/>
          <w:szCs w:val="32"/>
        </w:rPr>
        <w:t xml:space="preserve">Chapter 14: The HLR Unit Family</w:t>
      </w:r>
    </w:p>
    <w:p>
      <w:pPr>
        <w:pStyle w:val="Heading2"/>
      </w:pPr>
      <w:r>
        <w:rPr>
          <w:rFonts w:ascii="Arial" w:cs="Arial" w:eastAsia="Arial" w:hAnsi="Arial"/>
          <w:b/>
          <w:bCs/>
          <w:sz w:val="28"/>
          <w:szCs w:val="28"/>
        </w:rPr>
        <w:t xml:space="preserve">14.1 Unit Family</w:t>
      </w:r>
    </w:p>
    <w:p>
      <w:pPr>
        <w:spacing w:after="120"/>
      </w:pPr>
      <w:r>
        <w:rPr>
          <w:rFonts w:ascii="Arial" w:cs="Arial" w:eastAsia="Arial" w:hAnsi="Arial"/>
          <w:sz w:val="24"/>
          <w:szCs w:val="24"/>
        </w:rPr>
        <w:t xml:space="preserve">The Higgins Log-Ratio (HLR) is the natural unit of the CLR transform. It belongs to a family of log-ratio units used across science and engineering: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000"/>
        <w:gridCol w:w="2860"/>
      </w:tblGrid>
      <w:tr>
        <w:tc>
          <w:tcPr>
            <w:tcW w:type="dxa" w:w="2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Unit</w:t>
            </w:r>
          </w:p>
        </w:tc>
        <w:tc>
          <w:tcPr>
            <w:tcW w:type="dxa" w:w="4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Formula</w:t>
            </w:r>
          </w:p>
        </w:tc>
        <w:tc>
          <w:tcPr>
            <w:tcW w:type="dxa" w:w="28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Domain</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HLR</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ln(x_j / g(x))</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Compositional analysis</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dB amplitude</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20 log10(A/A_ref)</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Acoustics, electronics</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dB power</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 log10(P/P_ref)</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RF engineering</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log2 fold change</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log2(x/x_ref)</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Genomics</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Cents</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1200 log2(f/f_ref)</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Music theory</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Magnitudes</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-2.5 log10(F/F_ref)</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Astronomy</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pH</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-log10([H+])</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Chemistry</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f-stops</w:t>
            </w:r>
          </w:p>
        </w:tc>
        <w:tc>
          <w:tcPr>
            <w:tcW w:type="dxa" w:w="4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log2(N²)</w:t>
            </w:r>
          </w:p>
        </w:tc>
        <w:tc>
          <w:tcPr>
            <w:tcW w:type="dxa" w:w="2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Photography</w:t>
            </w:r>
          </w:p>
        </w:tc>
      </w:tr>
    </w:tbl>
    <w:p>
      <w:pPr>
        <w:pStyle w:val="Heading2"/>
      </w:pPr>
      <w:r>
        <w:rPr>
          <w:rFonts w:ascii="Arial" w:cs="Arial" w:eastAsia="Arial" w:hAnsi="Arial"/>
          <w:b/>
          <w:bCs/>
          <w:sz w:val="28"/>
          <w:szCs w:val="28"/>
        </w:rPr>
        <w:t xml:space="preserve">14.2 Universal Conversion</w:t>
      </w:r>
    </w:p>
    <w:p>
      <w:pPr>
        <w:spacing w:after="120"/>
      </w:pPr>
      <w:r>
        <w:rPr>
          <w:rFonts w:ascii="Arial" w:cs="Arial" w:eastAsia="Arial" w:hAnsi="Arial"/>
          <w:sz w:val="24"/>
          <w:szCs w:val="24"/>
        </w:rPr>
        <w:t xml:space="preserve">All log-ratio units are related by a constant k-factor:</w:t>
      </w:r>
    </w:p>
    <w:p>
      <w:pPr>
        <w:spacing w:after="80" w:before="80"/>
        <w:ind w:left="720"/>
      </w:pPr>
      <w:r>
        <w:rPr>
          <w:rFonts w:ascii="Arial" w:cs="Arial" w:eastAsia="Arial" w:hAnsi="Arial"/>
          <w:i/>
          <w:iCs/>
          <w:sz w:val="24"/>
          <w:szCs w:val="24"/>
        </w:rPr>
        <w:t xml:space="preserve">Unit_B = k · Unit_A,  where k = log_B(base_A)</w:t>
      </w:r>
    </w:p>
    <w:p>
      <w:pPr>
        <w:spacing w:after="120"/>
      </w:pPr>
      <w:r>
        <w:rPr>
          <w:rFonts w:ascii="Arial" w:cs="Arial" w:eastAsia="Arial" w:hAnsi="Arial"/>
          <w:sz w:val="24"/>
          <w:szCs w:val="24"/>
        </w:rPr>
        <w:t xml:space="preserve">The k-factor chain enables lossless conversion between any pair of log-ratio units.</w:t>
      </w:r>
    </w:p>
    <w:p>
      <w:pPr>
        <w:pStyle w:val="Heading2"/>
      </w:pPr>
      <w:r>
        <w:rPr>
          <w:rFonts w:ascii="Arial" w:cs="Arial" w:eastAsia="Arial" w:hAnsi="Arial"/>
          <w:b/>
          <w:bCs/>
          <w:sz w:val="28"/>
          <w:szCs w:val="28"/>
        </w:rPr>
        <w:t xml:space="preserve">14.3 Two Categories</w:t>
      </w:r>
    </w:p>
    <w:p>
      <w:pPr>
        <w:spacing w:after="120"/>
      </w:pPr>
      <w:r>
        <w:rPr>
          <w:rFonts w:ascii="Arial" w:cs="Arial" w:eastAsia="Arial" w:hAnsi="Arial"/>
          <w:sz w:val="24"/>
          <w:szCs w:val="24"/>
        </w:rPr>
        <w:t xml:space="preserve">Log-ratio systems fall into two categories:</w:t>
      </w:r>
    </w:p>
    <w:p>
      <w:pPr>
        <w:spacing w:after="120"/>
        <w:ind w:left="720"/>
      </w:pPr>
      <w:r>
        <w:rPr>
          <w:rFonts w:ascii="Arial" w:cs="Arial" w:eastAsia="Arial" w:hAnsi="Arial"/>
          <w:sz w:val="24"/>
          <w:szCs w:val="24"/>
        </w:rPr>
        <w:t xml:space="preserve">Log-ratio native (46 systems): the log-ratio is the primary measurement unit (dB, pH, magnitudes, HLR). The instrument measures in log space directly.</w:t>
      </w:r>
    </w:p>
    <w:p>
      <w:pPr>
        <w:spacing w:after="120"/>
        <w:ind w:left="720"/>
      </w:pPr>
      <w:r>
        <w:rPr>
          <w:rFonts w:ascii="Arial" w:cs="Arial" w:eastAsia="Arial" w:hAnsi="Arial"/>
          <w:sz w:val="24"/>
          <w:szCs w:val="24"/>
        </w:rPr>
        <w:t xml:space="preserve">Compositional-linear (30+ systems): the measurement is in linear space but the underlying structure is compositional (market share, energy mix, gene expression). The CLR/HLR transform reveals the hidden log-ratio structure.</w:t>
      </w:r>
    </w:p>
    <w:p>
      <w:r>
        <w:br w:type="page"/>
      </w:r>
    </w:p>
    <w:p>
      <w:pPr>
        <w:pStyle w:val="Heading1"/>
      </w:pPr>
      <w:r>
        <w:rPr>
          <w:rFonts w:ascii="Arial" w:cs="Arial" w:eastAsia="Arial" w:hAnsi="Arial"/>
          <w:b/>
          <w:bCs/>
          <w:sz w:val="32"/>
          <w:szCs w:val="32"/>
        </w:rPr>
        <w:t xml:space="preserve">Chapter 15: The System Course Plot</w:t>
      </w:r>
    </w:p>
    <w:p>
      <w:pPr>
        <w:pStyle w:val="Heading2"/>
      </w:pPr>
      <w:r>
        <w:rPr>
          <w:rFonts w:ascii="Arial" w:cs="Arial" w:eastAsia="Arial" w:hAnsi="Arial"/>
          <w:b/>
          <w:bCs/>
          <w:sz w:val="28"/>
          <w:szCs w:val="28"/>
        </w:rPr>
        <w:t xml:space="preserve">15.1 Construction</w:t>
      </w:r>
    </w:p>
    <w:p>
      <w:pPr>
        <w:spacing w:after="120"/>
      </w:pPr>
      <w:r>
        <w:rPr>
          <w:rFonts w:ascii="Arial" w:cs="Arial" w:eastAsia="Arial" w:hAnsi="Arial"/>
          <w:sz w:val="24"/>
          <w:szCs w:val="24"/>
        </w:rPr>
        <w:t xml:space="preserve">The system course plot projects the CLR trajectory onto a 2D plane via principal component analysis (PCA):</w:t>
      </w:r>
    </w:p>
    <w:p>
      <w:pPr>
        <w:spacing w:after="80" w:before="80"/>
        <w:ind w:left="720"/>
      </w:pPr>
      <w:r>
        <w:rPr>
          <w:rFonts w:ascii="Arial" w:cs="Arial" w:eastAsia="Arial" w:hAnsi="Arial"/>
          <w:i/>
          <w:iCs/>
          <w:sz w:val="24"/>
          <w:szCs w:val="24"/>
        </w:rPr>
        <w:t xml:space="preserve">CLR vectors h(t) → PCA → 2D path with year markers</w:t>
      </w:r>
    </w:p>
    <w:p>
      <w:pPr>
        <w:spacing w:after="120"/>
      </w:pPr>
      <w:r>
        <w:rPr>
          <w:rFonts w:ascii="Arial" w:cs="Arial" w:eastAsia="Arial" w:hAnsi="Arial"/>
          <w:sz w:val="24"/>
          <w:szCs w:val="24"/>
        </w:rPr>
        <w:t xml:space="preserve">The first two principal components capture the maximum variance in the compositional trajectory. Year markers along the path indicate temporal progression.</w:t>
      </w:r>
    </w:p>
    <w:p>
      <w:pPr>
        <w:pStyle w:val="Heading2"/>
      </w:pPr>
      <w:r>
        <w:rPr>
          <w:rFonts w:ascii="Arial" w:cs="Arial" w:eastAsia="Arial" w:hAnsi="Arial"/>
          <w:b/>
          <w:bCs/>
          <w:sz w:val="28"/>
          <w:szCs w:val="28"/>
        </w:rPr>
        <w:t xml:space="preserve">15.2 What the Course Plot Reveals</w:t>
      </w:r>
    </w:p>
    <w:p>
      <w:pPr>
        <w:spacing w:after="120"/>
      </w:pPr>
      <w:r>
        <w:rPr>
          <w:rFonts w:ascii="Arial" w:cs="Arial" w:eastAsia="Arial" w:hAnsi="Arial"/>
          <w:sz w:val="24"/>
          <w:szCs w:val="24"/>
        </w:rPr>
        <w:t xml:space="preserve">The course plot reveals qualitative features of the compositional trajectory:</w:t>
      </w:r>
    </w:p>
    <w:p>
      <w:pPr>
        <w:spacing w:after="120"/>
        <w:ind w:left="720"/>
      </w:pPr>
      <w:r>
        <w:rPr>
          <w:rFonts w:ascii="Arial" w:cs="Arial" w:eastAsia="Arial" w:hAnsi="Arial"/>
          <w:sz w:val="24"/>
          <w:szCs w:val="24"/>
        </w:rPr>
        <w:t xml:space="preserve">Tight cluster: stable composition, low variability.</w:t>
      </w:r>
    </w:p>
    <w:p>
      <w:pPr>
        <w:spacing w:after="120"/>
        <w:ind w:left="720"/>
      </w:pPr>
      <w:r>
        <w:rPr>
          <w:rFonts w:ascii="Arial" w:cs="Arial" w:eastAsia="Arial" w:hAnsi="Arial"/>
          <w:sz w:val="24"/>
          <w:szCs w:val="24"/>
        </w:rPr>
        <w:t xml:space="preserve">Long excursion: sustained directional change, structural shift.</w:t>
      </w:r>
    </w:p>
    <w:p>
      <w:pPr>
        <w:spacing w:after="120"/>
        <w:ind w:left="720"/>
      </w:pPr>
      <w:r>
        <w:rPr>
          <w:rFonts w:ascii="Arial" w:cs="Arial" w:eastAsia="Arial" w:hAnsi="Arial"/>
          <w:sz w:val="24"/>
          <w:szCs w:val="24"/>
        </w:rPr>
        <w:t xml:space="preserve">Sharp turn: abrupt change in direction, regime transition.</w:t>
      </w:r>
    </w:p>
    <w:p>
      <w:pPr>
        <w:spacing w:after="120"/>
        <w:ind w:left="720"/>
      </w:pPr>
      <w:r>
        <w:rPr>
          <w:rFonts w:ascii="Arial" w:cs="Arial" w:eastAsia="Arial" w:hAnsi="Arial"/>
          <w:sz w:val="24"/>
          <w:szCs w:val="24"/>
        </w:rPr>
        <w:t xml:space="preserve">Loop: return to previous state, cyclical behaviour.</w:t>
      </w:r>
    </w:p>
    <w:p>
      <w:pPr>
        <w:spacing w:after="120"/>
        <w:ind w:left="720"/>
      </w:pPr>
      <w:r>
        <w:rPr>
          <w:rFonts w:ascii="Arial" w:cs="Arial" w:eastAsia="Arial" w:hAnsi="Arial"/>
          <w:sz w:val="24"/>
          <w:szCs w:val="24"/>
        </w:rPr>
        <w:t xml:space="preserve">Spiral: systematic rotation with drift.</w:t>
      </w:r>
    </w:p>
    <w:p>
      <w:pPr>
        <w:pStyle w:val="Heading2"/>
      </w:pPr>
      <w:r>
        <w:rPr>
          <w:rFonts w:ascii="Arial" w:cs="Arial" w:eastAsia="Arial" w:hAnsi="Arial"/>
          <w:b/>
          <w:bCs/>
          <w:sz w:val="28"/>
          <w:szCs w:val="28"/>
        </w:rPr>
        <w:t xml:space="preserve">15.3 Prior Art and Novelty</w:t>
      </w:r>
    </w:p>
    <w:p>
      <w:pPr>
        <w:spacing w:after="120"/>
      </w:pPr>
      <w:r>
        <w:rPr>
          <w:rFonts w:ascii="Arial" w:cs="Arial" w:eastAsia="Arial" w:hAnsi="Arial"/>
          <w:sz w:val="24"/>
          <w:szCs w:val="24"/>
        </w:rPr>
        <w:t xml:space="preserve">PCA biplots of CLR data are well-established in compositional data analysis (Aitchison 1986, Egozcue et al. 2003). The novelty of the system course plot lies in its integration with the CNT tensor output and the temporal year-marker labelling, which transforms a static biplot into a navigational instrument.</w:t>
      </w:r>
    </w:p>
    <w:p>
      <w:r>
        <w:br w:type="page"/>
      </w:r>
    </w:p>
    <w:p>
      <w:pPr>
        <w:pStyle w:val="Heading1"/>
      </w:pPr>
      <w:r>
        <w:rPr>
          <w:rFonts w:ascii="Arial" w:cs="Arial" w:eastAsia="Arial" w:hAnsi="Arial"/>
          <w:b/>
          <w:bCs/>
          <w:sz w:val="32"/>
          <w:szCs w:val="32"/>
        </w:rPr>
        <w:t xml:space="preserve">Chapter 16: The Compositional Bearing Scope (CBS)</w:t>
      </w:r>
    </w:p>
    <w:p>
      <w:pPr>
        <w:pStyle w:val="Heading2"/>
      </w:pPr>
      <w:r>
        <w:rPr>
          <w:rFonts w:ascii="Arial" w:cs="Arial" w:eastAsia="Arial" w:hAnsi="Arial"/>
          <w:b/>
          <w:bCs/>
          <w:sz w:val="28"/>
          <w:szCs w:val="28"/>
        </w:rPr>
        <w:t xml:space="preserve">16.1 Cube Structure</w:t>
      </w:r>
    </w:p>
    <w:p>
      <w:pPr>
        <w:spacing w:after="120"/>
      </w:pPr>
      <w:r>
        <w:rPr>
          <w:rFonts w:ascii="Arial" w:cs="Arial" w:eastAsia="Arial" w:hAnsi="Arial"/>
          <w:sz w:val="24"/>
          <w:szCs w:val="24"/>
        </w:rPr>
        <w:t xml:space="preserve">The CBS displays the CNT output on three orthogonal faces of a measurement cube:</w:t>
      </w:r>
    </w:p>
    <w:p>
      <w:pPr>
        <w:spacing w:after="120"/>
        <w:ind w:left="720"/>
      </w:pPr>
      <w:r>
        <w:rPr>
          <w:rFonts w:ascii="Arial" w:cs="Arial" w:eastAsia="Arial" w:hAnsi="Arial"/>
          <w:sz w:val="24"/>
          <w:szCs w:val="24"/>
        </w:rPr>
        <w:t xml:space="preserve">XY face: Bearing θ vs Distance d_A — where is the composition heading and how far has it moved?</w:t>
      </w:r>
    </w:p>
    <w:p>
      <w:pPr>
        <w:spacing w:after="120"/>
        <w:ind w:left="720"/>
      </w:pPr>
      <w:r>
        <w:rPr>
          <w:rFonts w:ascii="Arial" w:cs="Arial" w:eastAsia="Arial" w:hAnsi="Arial"/>
          <w:sz w:val="24"/>
          <w:szCs w:val="24"/>
        </w:rPr>
        <w:t xml:space="preserve">XZ face: Bearing θ vs Metric κ_HS — where is it heading and how sensitive is the steering?</w:t>
      </w:r>
    </w:p>
    <w:p>
      <w:pPr>
        <w:spacing w:after="120"/>
        <w:ind w:left="720"/>
      </w:pPr>
      <w:r>
        <w:rPr>
          <w:rFonts w:ascii="Arial" w:cs="Arial" w:eastAsia="Arial" w:hAnsi="Arial"/>
          <w:sz w:val="24"/>
          <w:szCs w:val="24"/>
        </w:rPr>
        <w:t xml:space="preserve">YZ face: Distance d_A vs Metric κ_HS — how far has it moved and how sensitive is the steering?</w:t>
      </w:r>
    </w:p>
    <w:p>
      <w:pPr>
        <w:pStyle w:val="Heading2"/>
      </w:pPr>
      <w:r>
        <w:rPr>
          <w:rFonts w:ascii="Arial" w:cs="Arial" w:eastAsia="Arial" w:hAnsi="Arial"/>
          <w:b/>
          <w:bCs/>
          <w:sz w:val="28"/>
          <w:szCs w:val="28"/>
        </w:rPr>
        <w:t xml:space="preserve">16.2 Time Projection (Higgins Axis)</w:t>
      </w:r>
    </w:p>
    <w:p>
      <w:pPr>
        <w:spacing w:after="120"/>
      </w:pPr>
      <w:r>
        <w:rPr>
          <w:rFonts w:ascii="Arial" w:cs="Arial" w:eastAsia="Arial" w:hAnsi="Arial"/>
          <w:sz w:val="24"/>
          <w:szCs w:val="24"/>
        </w:rPr>
        <w:t xml:space="preserve">The Higgins Axis projects the cube faces along the time dimension. Each time step adds one data point to each face. The temporal evolution traces curves on the three cube faces simultaneously, providing a complete three-view projection of compositional motion.</w:t>
      </w:r>
    </w:p>
    <w:p>
      <w:pPr>
        <w:pStyle w:val="Heading2"/>
      </w:pPr>
      <w:r>
        <w:rPr>
          <w:rFonts w:ascii="Arial" w:cs="Arial" w:eastAsia="Arial" w:hAnsi="Arial"/>
          <w:b/>
          <w:bCs/>
          <w:sz w:val="28"/>
          <w:szCs w:val="28"/>
        </w:rPr>
        <w:t xml:space="preserve">16.3 Display Standard</w:t>
      </w:r>
    </w:p>
    <w:p>
      <w:pPr>
        <w:spacing w:after="120"/>
      </w:pPr>
      <w:r>
        <w:rPr>
          <w:rFonts w:ascii="Arial" w:cs="Arial" w:eastAsia="Arial" w:hAnsi="Arial"/>
          <w:sz w:val="24"/>
          <w:szCs w:val="24"/>
        </w:rPr>
        <w:t xml:space="preserve">The CBS display standard specifies:</w:t>
      </w:r>
    </w:p>
    <w:p>
      <w:pPr>
        <w:spacing w:after="120"/>
        <w:ind w:left="720"/>
      </w:pPr>
      <w:r>
        <w:rPr>
          <w:rFonts w:ascii="Arial" w:cs="Arial" w:eastAsia="Arial" w:hAnsi="Arial"/>
          <w:sz w:val="24"/>
          <w:szCs w:val="24"/>
        </w:rPr>
        <w:t xml:space="preserve">8-bit monochrome display (256 grayscale levels).</w:t>
      </w:r>
    </w:p>
    <w:p>
      <w:pPr>
        <w:spacing w:after="120"/>
        <w:ind w:left="720"/>
      </w:pPr>
      <w:r>
        <w:rPr>
          <w:rFonts w:ascii="Arial" w:cs="Arial" w:eastAsia="Arial" w:hAnsi="Arial"/>
          <w:sz w:val="24"/>
          <w:szCs w:val="24"/>
        </w:rPr>
        <w:t xml:space="preserve">ASCII symbology for terminal rendering.</w:t>
      </w:r>
    </w:p>
    <w:p>
      <w:pPr>
        <w:spacing w:after="120"/>
        <w:ind w:left="720"/>
      </w:pPr>
      <w:r>
        <w:rPr>
          <w:rFonts w:ascii="Arial" w:cs="Arial" w:eastAsia="Arial" w:hAnsi="Arial"/>
          <w:sz w:val="24"/>
          <w:szCs w:val="24"/>
        </w:rPr>
        <w:t xml:space="preserve">Grayscale intensity encoding for publication.</w:t>
      </w:r>
    </w:p>
    <w:p>
      <w:pPr>
        <w:spacing w:after="120"/>
        <w:ind w:left="720"/>
      </w:pPr>
      <w:r>
        <w:rPr>
          <w:rFonts w:ascii="Arial" w:cs="Arial" w:eastAsia="Arial" w:hAnsi="Arial"/>
          <w:sz w:val="24"/>
          <w:szCs w:val="24"/>
        </w:rPr>
        <w:t xml:space="preserve">Fixed scales derived from the data dynamic range.</w:t>
      </w:r>
    </w:p>
    <w:p>
      <w:pPr>
        <w:pStyle w:val="Heading2"/>
      </w:pPr>
      <w:r>
        <w:rPr>
          <w:rFonts w:ascii="Arial" w:cs="Arial" w:eastAsia="Arial" w:hAnsi="Arial"/>
          <w:b/>
          <w:bCs/>
          <w:sz w:val="28"/>
          <w:szCs w:val="28"/>
        </w:rPr>
        <w:t xml:space="preserve">16.4 Info Panel</w:t>
      </w:r>
    </w:p>
    <w:p>
      <w:pPr>
        <w:spacing w:after="120"/>
      </w:pPr>
      <w:r>
        <w:rPr>
          <w:rFonts w:ascii="Arial" w:cs="Arial" w:eastAsia="Arial" w:hAnsi="Arial"/>
          <w:sz w:val="24"/>
          <w:szCs w:val="24"/>
        </w:rPr>
        <w:t xml:space="preserve">The CBS info panel displays alongside each face:</w:t>
      </w:r>
    </w:p>
    <w:p>
      <w:pPr>
        <w:spacing w:after="120"/>
        <w:ind w:left="720"/>
      </w:pPr>
      <w:r>
        <w:rPr>
          <w:rFonts w:ascii="Arial" w:cs="Arial" w:eastAsia="Arial" w:hAnsi="Arial"/>
          <w:sz w:val="24"/>
          <w:szCs w:val="24"/>
        </w:rPr>
        <w:t xml:space="preserve">Current carrier identities and helmsman.</w:t>
      </w:r>
    </w:p>
    <w:p>
      <w:pPr>
        <w:spacing w:after="120"/>
        <w:ind w:left="720"/>
      </w:pPr>
      <w:r>
        <w:rPr>
          <w:rFonts w:ascii="Arial" w:cs="Arial" w:eastAsia="Arial" w:hAnsi="Arial"/>
          <w:sz w:val="24"/>
          <w:szCs w:val="24"/>
        </w:rPr>
        <w:t xml:space="preserve">Entropy index Hs.</w:t>
      </w:r>
    </w:p>
    <w:p>
      <w:pPr>
        <w:spacing w:after="120"/>
        <w:ind w:left="720"/>
      </w:pPr>
      <w:r>
        <w:rPr>
          <w:rFonts w:ascii="Arial" w:cs="Arial" w:eastAsia="Arial" w:hAnsi="Arial"/>
          <w:sz w:val="24"/>
          <w:szCs w:val="24"/>
        </w:rPr>
        <w:t xml:space="preserve">Angular velocity ω.</w:t>
      </w:r>
    </w:p>
    <w:p>
      <w:pPr>
        <w:spacing w:after="120"/>
        <w:ind w:left="720"/>
      </w:pPr>
      <w:r>
        <w:rPr>
          <w:rFonts w:ascii="Arial" w:cs="Arial" w:eastAsia="Arial" w:hAnsi="Arial"/>
          <w:sz w:val="24"/>
          <w:szCs w:val="24"/>
        </w:rPr>
        <w:t xml:space="preserve">Diagnostic codes and ring classification.</w:t>
      </w:r>
    </w:p>
    <w:p>
      <w:pPr>
        <w:spacing w:after="120"/>
        <w:ind w:left="720"/>
      </w:pPr>
      <w:r>
        <w:rPr>
          <w:rFonts w:ascii="Arial" w:cs="Arial" w:eastAsia="Arial" w:hAnsi="Arial"/>
          <w:sz w:val="24"/>
          <w:szCs w:val="24"/>
        </w:rPr>
        <w:t xml:space="preserve">Scale provenance map.</w:t>
      </w:r>
    </w:p>
    <w:p>
      <w:r>
        <w:br w:type="page"/>
      </w:r>
    </w:p>
    <w:p>
      <w:pPr>
        <w:spacing w:after="400" w:before="600"/>
        <w:jc w:val="center"/>
      </w:pPr>
      <w:r>
        <w:rPr>
          <w:rFonts w:ascii="Arial" w:cs="Arial" w:eastAsia="Arial" w:hAnsi="Arial"/>
          <w:b/>
          <w:bCs/>
          <w:sz w:val="36"/>
          <w:szCs w:val="36"/>
        </w:rPr>
        <w:t xml:space="preserve">Part V: Recursive Depth Theory</w:t>
      </w:r>
    </w:p>
    <w:p>
      <w:pPr>
        <w:pStyle w:val="Heading1"/>
      </w:pPr>
      <w:r>
        <w:rPr>
          <w:rFonts w:ascii="Arial" w:cs="Arial" w:eastAsia="Arial" w:hAnsi="Arial"/>
          <w:b/>
          <w:bCs/>
          <w:sz w:val="32"/>
          <w:szCs w:val="32"/>
        </w:rPr>
        <w:t xml:space="preserve">Chapter 17: Mathematical Lineage</w:t>
      </w:r>
    </w:p>
    <w:p>
      <w:pPr>
        <w:spacing w:after="120"/>
      </w:pPr>
      <w:r>
        <w:rPr>
          <w:rFonts w:ascii="Arial" w:cs="Arial" w:eastAsia="Arial" w:hAnsi="Arial"/>
          <w:sz w:val="24"/>
          <w:szCs w:val="24"/>
        </w:rPr>
        <w:t xml:space="preserve">The CNT draws on a lineage of mathematical contributions spanning three centuries: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000"/>
        <w:gridCol w:w="5860"/>
      </w:tblGrid>
      <w:tr>
        <w:tc>
          <w:tcPr>
            <w:tcW w:type="dxa" w:w="2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Contributor</w:t>
            </w:r>
          </w:p>
        </w:tc>
        <w:tc>
          <w:tcPr>
            <w:tcW w:type="dxa" w:w="1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Year</w:t>
            </w:r>
          </w:p>
        </w:tc>
        <w:tc>
          <w:tcPr>
            <w:tcW w:type="dxa" w:w="58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Contribution</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Lagrange</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1773</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Composition of the solar system; first compositional data</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Lyapunov</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1892</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Stability theory; Lyapunov exponents</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Shannon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1948</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Information theory; entropy</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Kalman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1960</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State-space theory; Kalman filter</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Fisher</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1922</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Fisher information; information geometry</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Aitchison</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1986</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Compositional data analysis; CLR transform; Aitchison distance</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Egozcue et al.</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2003</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Isometric log-ratio; Hilbert space structure of the simplex</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Higgins</w:t>
            </w:r>
          </w:p>
        </w:tc>
        <w:tc>
          <w:tcPr>
            <w:tcW w:type="dxa" w:w="1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2025-2026</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 tensor engine; HCI framework; recursive depth theory</w:t>
            </w:r>
          </w:p>
        </w:tc>
      </w:tr>
    </w:tbl>
    <w:p>
      <w:pPr>
        <w:pStyle w:val="Heading2"/>
      </w:pPr>
      <w:r>
        <w:rPr>
          <w:rFonts w:ascii="Arial" w:cs="Arial" w:eastAsia="Arial" w:hAnsi="Arial"/>
          <w:b/>
          <w:bCs/>
          <w:sz w:val="28"/>
          <w:szCs w:val="28"/>
        </w:rPr>
        <w:t xml:space="preserve">17.1 Mathematical Properties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Property</w:t>
            </w:r>
          </w:p>
        </w:tc>
        <w:tc>
          <w:tcPr>
            <w:tcW w:type="dxa" w:w="6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Description</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Deterministic</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Same input always produces same output; no random seeds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Closed-form</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All formulas are explicit; no iterative solvers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Parameter-free</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No tuning constants; the mathematics sets all thresholds</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Scale-invariant</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Results are unchanged by units or scaling of raw data</w:t>
            </w:r>
          </w:p>
        </w:tc>
      </w:tr>
      <w:tr>
        <w:tc>
          <w:tcPr>
            <w:tcW w:type="dxa" w:w="3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Domain-agnostic</w:t>
            </w:r>
          </w:p>
        </w:tc>
        <w:tc>
          <w:tcPr>
            <w:tcW w:type="dxa" w:w="6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Applies to any compositional data regardless of source</w:t>
            </w:r>
          </w:p>
        </w:tc>
      </w:tr>
    </w:tbl>
    <w:p>
      <w:r>
        <w:br w:type="page"/>
      </w:r>
    </w:p>
    <w:p>
      <w:pPr>
        <w:pStyle w:val="Heading1"/>
      </w:pPr>
      <w:r>
        <w:rPr>
          <w:rFonts w:ascii="Arial" w:cs="Arial" w:eastAsia="Arial" w:hAnsi="Arial"/>
          <w:b/>
          <w:bCs/>
          <w:sz w:val="32"/>
          <w:szCs w:val="32"/>
        </w:rPr>
        <w:t xml:space="preserve">Chapter 18: Metric Dual Involution</w:t>
      </w:r>
    </w:p>
    <w:p>
      <w:pPr>
        <w:spacing w:after="120"/>
      </w:pPr>
      <w:r>
        <w:rPr>
          <w:rFonts w:ascii="Arial" w:cs="Arial" w:eastAsia="Arial" w:hAnsi="Arial"/>
          <w:sz w:val="24"/>
          <w:szCs w:val="24"/>
        </w:rPr>
        <w:t xml:space="preserve">This chapter introduces the metric dual map M, an involution on the simplex that arises naturally from the reciprocal operation on compositions. The map has deep connections to CLR geometry and provides the mechanism underlying the period-2 attractors observed in the recursive depth sounder (Chapter 20).</w:t>
      </w:r>
    </w:p>
    <w:p>
      <w:pPr>
        <w:pStyle w:val="Heading2"/>
      </w:pPr>
      <w:r>
        <w:rPr>
          <w:rFonts w:ascii="Arial" w:cs="Arial" w:eastAsia="Arial" w:hAnsi="Arial"/>
          <w:b/>
          <w:bCs/>
          <w:sz w:val="28"/>
          <w:szCs w:val="28"/>
        </w:rPr>
        <w:t xml:space="preserve">18.1 Definition</w:t>
      </w:r>
    </w:p>
    <w:p>
      <w:pPr>
        <w:spacing w:after="120"/>
      </w:pPr>
      <w:r>
        <w:rPr>
          <w:rFonts w:ascii="Arial" w:cs="Arial" w:eastAsia="Arial" w:hAnsi="Arial"/>
          <w:sz w:val="24"/>
          <w:szCs w:val="24"/>
        </w:rPr>
        <w:t xml:space="preserve">The metric dual map M: S^D → S^D is defined by:</w:t>
      </w:r>
    </w:p>
    <w:p>
      <w:pPr>
        <w:spacing w:after="80" w:before="80"/>
        <w:ind w:left="720"/>
      </w:pPr>
      <w:r>
        <w:rPr>
          <w:rFonts w:ascii="Arial" w:cs="Arial" w:eastAsia="Arial" w:hAnsi="Arial"/>
          <w:i/>
          <w:iCs/>
          <w:sz w:val="24"/>
          <w:szCs w:val="24"/>
        </w:rPr>
        <w:t xml:space="preserve">M(x)_j = (1/x_j) / ∑(1/x_k)</w:t>
      </w:r>
    </w:p>
    <w:p>
      <w:pPr>
        <w:spacing w:after="120"/>
      </w:pPr>
      <w:r>
        <w:rPr>
          <w:rFonts w:ascii="Arial" w:cs="Arial" w:eastAsia="Arial" w:hAnsi="Arial"/>
          <w:sz w:val="24"/>
          <w:szCs w:val="24"/>
        </w:rPr>
        <w:t xml:space="preserve">The map takes the reciprocal of each component and renormalises to the simplex. Components that are large in x become small in M(x), and vice versa. The map preserves the simplex: M(x) is a valid composition (positive, sums to 1).</w:t>
      </w:r>
    </w:p>
    <w:p>
      <w:pPr>
        <w:pStyle w:val="Heading2"/>
      </w:pPr>
      <w:r>
        <w:rPr>
          <w:rFonts w:ascii="Arial" w:cs="Arial" w:eastAsia="Arial" w:hAnsi="Arial"/>
          <w:b/>
          <w:bCs/>
          <w:sz w:val="28"/>
          <w:szCs w:val="28"/>
        </w:rPr>
        <w:t xml:space="preserve">18.2 Theorem: M² = Identity</w:t>
      </w:r>
    </w:p>
    <w:p>
      <w:pPr>
        <w:spacing w:after="120"/>
      </w:pPr>
      <w:r>
        <w:rPr>
          <w:rFonts w:ascii="Arial" w:cs="Arial" w:eastAsia="Arial" w:hAnsi="Arial"/>
          <w:sz w:val="24"/>
          <w:szCs w:val="24"/>
        </w:rPr>
        <w:t xml:space="preserve">The metric dual map is an involution: applying it twice returns the original composition.</w:t>
      </w:r>
    </w:p>
    <w:p>
      <w:pPr>
        <w:spacing w:after="120"/>
      </w:pPr>
      <w:r>
        <w:rPr>
          <w:rFonts w:ascii="Arial" w:cs="Arial" w:eastAsia="Arial" w:hAnsi="Arial"/>
          <w:b/>
          <w:bCs/>
          <w:i/>
          <w:iCs/>
          <w:sz w:val="24"/>
          <w:szCs w:val="24"/>
        </w:rPr>
        <w:t xml:space="preserve">Proof. </w:t>
      </w:r>
      <w:r>
        <w:rPr>
          <w:rFonts w:ascii="Arial" w:cs="Arial" w:eastAsia="Arial" w:hAnsi="Arial"/>
          <w:sz w:val="24"/>
          <w:szCs w:val="24"/>
        </w:rPr>
        <w:t xml:space="preserve">Let S = ∑(1/x_k). Then M(x)_j = 1/(S · x_j).</w:t>
      </w:r>
    </w:p>
    <w:p>
      <w:pPr>
        <w:spacing w:after="120"/>
        <w:ind w:left="720"/>
      </w:pPr>
      <w:r>
        <w:rPr>
          <w:rFonts w:ascii="Arial" w:cs="Arial" w:eastAsia="Arial" w:hAnsi="Arial"/>
          <w:sz w:val="24"/>
          <w:szCs w:val="24"/>
        </w:rPr>
        <w:t xml:space="preserve">Applying M again:</w:t>
      </w:r>
    </w:p>
    <w:p>
      <w:pPr>
        <w:spacing w:after="80" w:before="80"/>
        <w:ind w:left="720"/>
      </w:pPr>
      <w:r>
        <w:rPr>
          <w:rFonts w:ascii="Arial" w:cs="Arial" w:eastAsia="Arial" w:hAnsi="Arial"/>
          <w:i/>
          <w:iCs/>
          <w:sz w:val="24"/>
          <w:szCs w:val="24"/>
        </w:rPr>
        <w:t xml:space="preserve">M(M(x))_j = (1/M(x)_j) / ∑(1/M(x)_k)</w:t>
      </w:r>
    </w:p>
    <w:p>
      <w:pPr>
        <w:spacing w:after="80" w:before="80"/>
        <w:ind w:left="720"/>
      </w:pPr>
      <w:r>
        <w:rPr>
          <w:rFonts w:ascii="Arial" w:cs="Arial" w:eastAsia="Arial" w:hAnsi="Arial"/>
          <w:i/>
          <w:iCs/>
          <w:sz w:val="24"/>
          <w:szCs w:val="24"/>
        </w:rPr>
        <w:t xml:space="preserve">= (S · x_j) / ∑(S · x_k)</w:t>
      </w:r>
    </w:p>
    <w:p>
      <w:pPr>
        <w:spacing w:after="80" w:before="80"/>
        <w:ind w:left="720"/>
      </w:pPr>
      <w:r>
        <w:rPr>
          <w:rFonts w:ascii="Arial" w:cs="Arial" w:eastAsia="Arial" w:hAnsi="Arial"/>
          <w:i/>
          <w:iCs/>
          <w:sz w:val="24"/>
          <w:szCs w:val="24"/>
        </w:rPr>
        <w:t xml:space="preserve">= S · x_j / (S · ∑ x_k)</w:t>
      </w:r>
    </w:p>
    <w:p>
      <w:pPr>
        <w:spacing w:after="80" w:before="80"/>
        <w:ind w:left="720"/>
      </w:pPr>
      <w:r>
        <w:rPr>
          <w:rFonts w:ascii="Arial" w:cs="Arial" w:eastAsia="Arial" w:hAnsi="Arial"/>
          <w:i/>
          <w:iCs/>
          <w:sz w:val="24"/>
          <w:szCs w:val="24"/>
        </w:rPr>
        <w:t xml:space="preserve">= x_j / ∑ x_k = x_j.  QED.</w:t>
      </w:r>
    </w:p>
    <w:p>
      <w:pPr>
        <w:pStyle w:val="Heading2"/>
      </w:pPr>
      <w:r>
        <w:rPr>
          <w:rFonts w:ascii="Arial" w:cs="Arial" w:eastAsia="Arial" w:hAnsi="Arial"/>
          <w:b/>
          <w:bCs/>
          <w:sz w:val="28"/>
          <w:szCs w:val="28"/>
        </w:rPr>
        <w:t xml:space="preserve">18.3 CLR Negation Property</w:t>
      </w:r>
    </w:p>
    <w:p>
      <w:pPr>
        <w:spacing w:after="120"/>
      </w:pPr>
      <w:r>
        <w:rPr>
          <w:rFonts w:ascii="Arial" w:cs="Arial" w:eastAsia="Arial" w:hAnsi="Arial"/>
          <w:sz w:val="24"/>
          <w:szCs w:val="24"/>
        </w:rPr>
        <w:t xml:space="preserve">The metric dual map negates the CLR coordinates:</w:t>
      </w:r>
    </w:p>
    <w:p>
      <w:pPr>
        <w:spacing w:after="80" w:before="80"/>
        <w:ind w:left="720"/>
      </w:pPr>
      <w:r>
        <w:rPr>
          <w:rFonts w:ascii="Arial" w:cs="Arial" w:eastAsia="Arial" w:hAnsi="Arial"/>
          <w:i/>
          <w:iCs/>
          <w:sz w:val="24"/>
          <w:szCs w:val="24"/>
        </w:rPr>
        <w:t xml:space="preserve">clr(M(x)) = -clr(x)</w:t>
      </w:r>
    </w:p>
    <w:p>
      <w:pPr>
        <w:spacing w:after="120"/>
      </w:pPr>
      <w:r>
        <w:rPr>
          <w:rFonts w:ascii="Arial" w:cs="Arial" w:eastAsia="Arial" w:hAnsi="Arial"/>
          <w:b/>
          <w:bCs/>
          <w:i/>
          <w:iCs/>
          <w:sz w:val="24"/>
          <w:szCs w:val="24"/>
        </w:rPr>
        <w:t xml:space="preserve">Proof. </w:t>
      </w:r>
    </w:p>
    <w:p>
      <w:pPr>
        <w:spacing w:after="80" w:before="80"/>
        <w:ind w:left="720"/>
      </w:pPr>
      <w:r>
        <w:rPr>
          <w:rFonts w:ascii="Arial" w:cs="Arial" w:eastAsia="Arial" w:hAnsi="Arial"/>
          <w:i/>
          <w:iCs/>
          <w:sz w:val="24"/>
          <w:szCs w:val="24"/>
        </w:rPr>
        <w:t xml:space="preserve">clr(M(x))_j = ln(M(x)_j) - (1/D) ∑ ln(M(x)_k)</w:t>
      </w:r>
    </w:p>
    <w:p>
      <w:pPr>
        <w:spacing w:after="80" w:before="80"/>
        <w:ind w:left="720"/>
      </w:pPr>
      <w:r>
        <w:rPr>
          <w:rFonts w:ascii="Arial" w:cs="Arial" w:eastAsia="Arial" w:hAnsi="Arial"/>
          <w:i/>
          <w:iCs/>
          <w:sz w:val="24"/>
          <w:szCs w:val="24"/>
        </w:rPr>
        <w:t xml:space="preserve">= ln(1/(S · x_j)) - (1/D) ∑ ln(1/(S · x_k))</w:t>
      </w:r>
    </w:p>
    <w:p>
      <w:pPr>
        <w:spacing w:after="80" w:before="80"/>
        <w:ind w:left="720"/>
      </w:pPr>
      <w:r>
        <w:rPr>
          <w:rFonts w:ascii="Arial" w:cs="Arial" w:eastAsia="Arial" w:hAnsi="Arial"/>
          <w:i/>
          <w:iCs/>
          <w:sz w:val="24"/>
          <w:szCs w:val="24"/>
        </w:rPr>
        <w:t xml:space="preserve">= (-ln(S) - ln(x_j)) - (1/D) ∑ (-ln(S) - ln(x_k))</w:t>
      </w:r>
    </w:p>
    <w:p>
      <w:pPr>
        <w:spacing w:after="80" w:before="80"/>
        <w:ind w:left="720"/>
      </w:pPr>
      <w:r>
        <w:rPr>
          <w:rFonts w:ascii="Arial" w:cs="Arial" w:eastAsia="Arial" w:hAnsi="Arial"/>
          <w:i/>
          <w:iCs/>
          <w:sz w:val="24"/>
          <w:szCs w:val="24"/>
        </w:rPr>
        <w:t xml:space="preserve">= -ln(S) - ln(x_j) + ln(S) + (1/D) ∑ ln(x_k)</w:t>
      </w:r>
    </w:p>
    <w:p>
      <w:pPr>
        <w:spacing w:after="80" w:before="80"/>
        <w:ind w:left="720"/>
      </w:pPr>
      <w:r>
        <w:rPr>
          <w:rFonts w:ascii="Arial" w:cs="Arial" w:eastAsia="Arial" w:hAnsi="Arial"/>
          <w:i/>
          <w:iCs/>
          <w:sz w:val="24"/>
          <w:szCs w:val="24"/>
        </w:rPr>
        <w:t xml:space="preserve">= -ln(x_j) + (1/D) ∑ ln(x_k) = -clr(x)_j.  QED.</w:t>
      </w:r>
    </w:p>
    <w:p>
      <w:pPr>
        <w:pStyle w:val="Heading2"/>
      </w:pPr>
      <w:r>
        <w:rPr>
          <w:rFonts w:ascii="Arial" w:cs="Arial" w:eastAsia="Arial" w:hAnsi="Arial"/>
          <w:b/>
          <w:bCs/>
          <w:sz w:val="28"/>
          <w:szCs w:val="28"/>
        </w:rPr>
        <w:t xml:space="preserve">18.4 Fixed Point</w:t>
      </w:r>
    </w:p>
    <w:p>
      <w:pPr>
        <w:spacing w:after="120"/>
      </w:pPr>
      <w:r>
        <w:rPr>
          <w:rFonts w:ascii="Arial" w:cs="Arial" w:eastAsia="Arial" w:hAnsi="Arial"/>
          <w:sz w:val="24"/>
          <w:szCs w:val="24"/>
        </w:rPr>
        <w:t xml:space="preserve">The unique fixed point of M is the barycenter x* = (1/D, ..., 1/D):</w:t>
      </w:r>
    </w:p>
    <w:p>
      <w:pPr>
        <w:spacing w:after="80" w:before="80"/>
        <w:ind w:left="720"/>
      </w:pPr>
      <w:r>
        <w:rPr>
          <w:rFonts w:ascii="Arial" w:cs="Arial" w:eastAsia="Arial" w:hAnsi="Arial"/>
          <w:i/>
          <w:iCs/>
          <w:sz w:val="24"/>
          <w:szCs w:val="24"/>
        </w:rPr>
        <w:t xml:space="preserve">M(x*) = x*</w:t>
      </w:r>
    </w:p>
    <w:p>
      <w:pPr>
        <w:spacing w:after="120"/>
      </w:pPr>
      <w:r>
        <w:rPr>
          <w:rFonts w:ascii="Arial" w:cs="Arial" w:eastAsia="Arial" w:hAnsi="Arial"/>
          <w:sz w:val="24"/>
          <w:szCs w:val="24"/>
        </w:rPr>
        <w:t xml:space="preserve">At the barycenter, all components are equal, so reciprocation and renormalisation return the same composition. This fixed point is the maximum entropy composition.</w:t>
      </w:r>
    </w:p>
    <w:p>
      <w:pPr>
        <w:pStyle w:val="Heading2"/>
      </w:pPr>
      <w:r>
        <w:rPr>
          <w:rFonts w:ascii="Arial" w:cs="Arial" w:eastAsia="Arial" w:hAnsi="Arial"/>
          <w:b/>
          <w:bCs/>
          <w:sz w:val="28"/>
          <w:szCs w:val="28"/>
        </w:rPr>
        <w:t xml:space="preserve">18.5 Duality Distance</w:t>
      </w:r>
    </w:p>
    <w:p>
      <w:pPr>
        <w:spacing w:after="120"/>
      </w:pPr>
      <w:r>
        <w:rPr>
          <w:rFonts w:ascii="Arial" w:cs="Arial" w:eastAsia="Arial" w:hAnsi="Arial"/>
          <w:sz w:val="24"/>
          <w:szCs w:val="24"/>
        </w:rPr>
        <w:t xml:space="preserve">The Aitchison distance between a composition and its dual is:</w:t>
      </w:r>
    </w:p>
    <w:p>
      <w:pPr>
        <w:spacing w:after="80" w:before="80"/>
        <w:ind w:left="720"/>
      </w:pPr>
      <w:r>
        <w:rPr>
          <w:rFonts w:ascii="Arial" w:cs="Arial" w:eastAsia="Arial" w:hAnsi="Arial"/>
          <w:i/>
          <w:iCs/>
          <w:sz w:val="24"/>
          <w:szCs w:val="24"/>
        </w:rPr>
        <w:t xml:space="preserve">d_A(x, M(x)) = 2 · ||clr(x)||</w:t>
      </w:r>
    </w:p>
    <w:p>
      <w:pPr>
        <w:spacing w:after="120"/>
      </w:pPr>
      <w:r>
        <w:rPr>
          <w:rFonts w:ascii="Arial" w:cs="Arial" w:eastAsia="Arial" w:hAnsi="Arial"/>
          <w:sz w:val="24"/>
          <w:szCs w:val="24"/>
        </w:rPr>
        <w:t xml:space="preserve">This is twice the distance from the composition to the barycenter. Compositions close to the barycenter have small duality distance; compositions near the simplex boundary have large duality distance.</w:t>
      </w:r>
    </w:p>
    <w:p>
      <w:pPr>
        <w:pStyle w:val="Heading2"/>
      </w:pPr>
      <w:r>
        <w:rPr>
          <w:rFonts w:ascii="Arial" w:cs="Arial" w:eastAsia="Arial" w:hAnsi="Arial"/>
          <w:b/>
          <w:bCs/>
          <w:sz w:val="28"/>
          <w:szCs w:val="28"/>
        </w:rPr>
        <w:t xml:space="preserve">18.6 Numerical Verification</w:t>
      </w:r>
    </w:p>
    <w:p>
      <w:pPr>
        <w:spacing w:after="120"/>
      </w:pPr>
      <w:r>
        <w:rPr>
          <w:rFonts w:ascii="Arial" w:cs="Arial" w:eastAsia="Arial" w:hAnsi="Arial"/>
          <w:sz w:val="24"/>
          <w:szCs w:val="24"/>
        </w:rPr>
        <w:t xml:space="preserve">Verified on the Hs-25 Cosmic Energy Budget (Planck 2018 ΛCDM):</w:t>
      </w:r>
    </w:p>
    <w:p>
      <w:pPr>
        <w:spacing w:after="80" w:before="80"/>
        <w:ind w:left="720"/>
      </w:pPr>
      <w:r>
        <w:rPr>
          <w:rFonts w:ascii="Arial" w:cs="Arial" w:eastAsia="Arial" w:hAnsi="Arial"/>
          <w:i/>
          <w:iCs/>
          <w:sz w:val="24"/>
          <w:szCs w:val="24"/>
        </w:rPr>
        <w:t xml:space="preserve">||M²(x) - x|| = 3.93e-17</w:t>
      </w:r>
    </w:p>
    <w:p>
      <w:pPr>
        <w:spacing w:after="80" w:before="80"/>
        <w:ind w:left="720"/>
      </w:pPr>
      <w:r>
        <w:rPr>
          <w:rFonts w:ascii="Arial" w:cs="Arial" w:eastAsia="Arial" w:hAnsi="Arial"/>
          <w:i/>
          <w:iCs/>
          <w:sz w:val="24"/>
          <w:szCs w:val="24"/>
        </w:rPr>
        <w:t xml:space="preserve">||clr(x) + clr(M(x))|| = 1.26e-15</w:t>
      </w:r>
    </w:p>
    <w:p>
      <w:pPr>
        <w:spacing w:after="120"/>
      </w:pPr>
      <w:r>
        <w:rPr>
          <w:rFonts w:ascii="Arial" w:cs="Arial" w:eastAsia="Arial" w:hAnsi="Arial"/>
          <w:sz w:val="24"/>
          <w:szCs w:val="24"/>
        </w:rPr>
        <w:t xml:space="preserve">Both residuals are at the IEEE 754 double precision floor, confirming the theoretical results.</w:t>
      </w:r>
    </w:p>
    <w:p>
      <w:pPr>
        <w:pStyle w:val="Heading2"/>
      </w:pPr>
      <w:r>
        <w:rPr>
          <w:rFonts w:ascii="Arial" w:cs="Arial" w:eastAsia="Arial" w:hAnsi="Arial"/>
          <w:b/>
          <w:bCs/>
          <w:sz w:val="28"/>
          <w:szCs w:val="28"/>
        </w:rPr>
        <w:t xml:space="preserve">18.7 Geometric Interpretation</w:t>
      </w:r>
    </w:p>
    <w:p>
      <w:pPr>
        <w:spacing w:after="120"/>
      </w:pPr>
      <w:r>
        <w:rPr>
          <w:rFonts w:ascii="Arial" w:cs="Arial" w:eastAsia="Arial" w:hAnsi="Arial"/>
          <w:sz w:val="24"/>
          <w:szCs w:val="24"/>
        </w:rPr>
        <w:t xml:space="preserve">M is the antipodal reflection through the barycenter in Aitchison geometry. In CLR coordinates, M is simply negation: h → -h. This is a linear involution, the simplest non-trivial isometry of the Aitchison space. The map exchanges large and small components, mapping dominant carriers to subordinate ones and vice versa.</w:t>
      </w:r>
    </w:p>
    <w:p>
      <w:r>
        <w:br w:type="page"/>
      </w:r>
    </w:p>
    <w:p>
      <w:pPr>
        <w:pStyle w:val="Heading1"/>
      </w:pPr>
      <w:r>
        <w:rPr>
          <w:rFonts w:ascii="Arial" w:cs="Arial" w:eastAsia="Arial" w:hAnsi="Arial"/>
          <w:b/>
          <w:bCs/>
          <w:sz w:val="32"/>
          <w:szCs w:val="32"/>
        </w:rPr>
        <w:t xml:space="preserve">Chapter 19: Recursive Depth Theory</w:t>
      </w:r>
    </w:p>
    <w:p>
      <w:pPr>
        <w:spacing w:after="120"/>
      </w:pPr>
      <w:r>
        <w:rPr>
          <w:rFonts w:ascii="Arial" w:cs="Arial" w:eastAsia="Arial" w:hAnsi="Arial"/>
          <w:sz w:val="24"/>
          <w:szCs w:val="24"/>
        </w:rPr>
        <w:t xml:space="preserve">This chapter defines the recursive depth sounder, which iterates the CNT on derived compositions to measure how many levels of differential structure contain non-trivial information.</w:t>
      </w:r>
    </w:p>
    <w:p>
      <w:pPr>
        <w:pStyle w:val="Heading2"/>
      </w:pPr>
      <w:r>
        <w:rPr>
          <w:rFonts w:ascii="Arial" w:cs="Arial" w:eastAsia="Arial" w:hAnsi="Arial"/>
          <w:b/>
          <w:bCs/>
          <w:sz w:val="28"/>
          <w:szCs w:val="28"/>
        </w:rPr>
        <w:t xml:space="preserve">19.1 The Jet Bundle Tower</w:t>
      </w:r>
    </w:p>
    <w:p>
      <w:pPr>
        <w:spacing w:after="120"/>
      </w:pPr>
      <w:r>
        <w:rPr>
          <w:rFonts w:ascii="Arial" w:cs="Arial" w:eastAsia="Arial" w:hAnsi="Arial"/>
          <w:sz w:val="24"/>
          <w:szCs w:val="24"/>
        </w:rPr>
        <w:t xml:space="preserve">The recursion constructs a tower of jet bundles on the simplex:</w:t>
      </w:r>
    </w:p>
    <w:p>
      <w:pPr>
        <w:spacing w:after="80" w:before="80"/>
        <w:ind w:left="720"/>
      </w:pPr>
      <w:r>
        <w:rPr>
          <w:rFonts w:ascii="Arial" w:cs="Arial" w:eastAsia="Arial" w:hAnsi="Arial"/>
          <w:i/>
          <w:iCs/>
          <w:sz w:val="24"/>
          <w:szCs w:val="24"/>
        </w:rPr>
        <w:t xml:space="preserve">Level 0: x(t)  —  the raw composition</w:t>
      </w:r>
    </w:p>
    <w:p>
      <w:pPr>
        <w:spacing w:after="80" w:before="80"/>
        <w:ind w:left="720"/>
      </w:pPr>
      <w:r>
        <w:rPr>
          <w:rFonts w:ascii="Arial" w:cs="Arial" w:eastAsia="Arial" w:hAnsi="Arial"/>
          <w:i/>
          <w:iCs/>
          <w:sz w:val="24"/>
          <w:szCs w:val="24"/>
        </w:rPr>
        <w:t xml:space="preserve">Level k: f(CNT_{k-1})  —  derived composition from level k-1</w:t>
      </w:r>
    </w:p>
    <w:p>
      <w:pPr>
        <w:spacing w:after="120"/>
      </w:pPr>
      <w:r>
        <w:rPr>
          <w:rFonts w:ascii="Arial" w:cs="Arial" w:eastAsia="Arial" w:hAnsi="Arial"/>
          <w:sz w:val="24"/>
          <w:szCs w:val="24"/>
        </w:rPr>
        <w:t xml:space="preserve">Each level adds one order of differential structure. J^k denotes the k-th jet bundle on the simplex. The tower terminates when the derived composition carries no further non-trivial tensor structure.</w:t>
      </w:r>
    </w:p>
    <w:p>
      <w:pPr>
        <w:pStyle w:val="Heading2"/>
      </w:pPr>
      <w:r>
        <w:rPr>
          <w:rFonts w:ascii="Arial" w:cs="Arial" w:eastAsia="Arial" w:hAnsi="Arial"/>
          <w:b/>
          <w:bCs/>
          <w:sz w:val="28"/>
          <w:szCs w:val="28"/>
        </w:rPr>
        <w:t xml:space="preserve">19.2 Three Derived Composition Constructors</w:t>
      </w:r>
    </w:p>
    <w:p>
      <w:pPr>
        <w:spacing w:after="120"/>
      </w:pPr>
      <w:r>
        <w:rPr>
          <w:rFonts w:ascii="Arial" w:cs="Arial" w:eastAsia="Arial" w:hAnsi="Arial"/>
          <w:sz w:val="24"/>
          <w:szCs w:val="24"/>
        </w:rPr>
        <w:t xml:space="preserve">Three constructors generate valid compositions from CNT output at each level:</w:t>
      </w:r>
    </w:p>
    <w:p>
      <w:pPr>
        <w:spacing w:after="60"/>
      </w:pPr>
    </w:p>
    <w:p>
      <w:pPr>
        <w:spacing w:after="120"/>
      </w:pPr>
      <w:r>
        <w:rPr>
          <w:rFonts w:ascii="Arial" w:cs="Arial" w:eastAsia="Arial" w:hAnsi="Arial"/>
          <w:b/>
          <w:bCs/>
          <w:sz w:val="24"/>
          <w:szCs w:val="24"/>
        </w:rPr>
        <w:t xml:space="preserve">(a) Energy: </w:t>
      </w:r>
      <w:r>
        <w:rPr>
          <w:rFonts w:ascii="Arial" w:cs="Arial" w:eastAsia="Arial" w:hAnsi="Arial"/>
          <w:sz w:val="24"/>
          <w:szCs w:val="24"/>
        </w:rPr>
        <w:t xml:space="preserve">e_j(t) = (Δh_j)² / ∑(Δh_k)²</w:t>
      </w:r>
    </w:p>
    <w:p>
      <w:pPr>
        <w:spacing w:after="120"/>
        <w:ind w:left="720"/>
      </w:pPr>
      <w:r>
        <w:rPr>
          <w:rFonts w:ascii="Arial" w:cs="Arial" w:eastAsia="Arial" w:hAnsi="Arial"/>
          <w:sz w:val="24"/>
          <w:szCs w:val="24"/>
        </w:rPr>
        <w:t xml:space="preserve">The kinetic energy distribution in CLR space. Each component represents the fraction of total kinetic energy carried by carrier j. The energy composition is always a valid element of S^D: positive and sums to 1.</w:t>
      </w:r>
    </w:p>
    <w:p>
      <w:pPr>
        <w:spacing w:after="60"/>
      </w:pPr>
    </w:p>
    <w:p>
      <w:pPr>
        <w:spacing w:after="120"/>
      </w:pPr>
      <w:r>
        <w:rPr>
          <w:rFonts w:ascii="Arial" w:cs="Arial" w:eastAsia="Arial" w:hAnsi="Arial"/>
          <w:b/>
          <w:bCs/>
          <w:sz w:val="24"/>
          <w:szCs w:val="24"/>
        </w:rPr>
        <w:t xml:space="preserve">(b) Curvature: </w:t>
      </w:r>
      <w:r>
        <w:rPr>
          <w:rFonts w:ascii="Arial" w:cs="Arial" w:eastAsia="Arial" w:hAnsi="Arial"/>
          <w:sz w:val="24"/>
          <w:szCs w:val="24"/>
        </w:rPr>
        <w:t xml:space="preserve">c_j(t) = κ_jj(t) / ∑ κ_kk(t)</w:t>
      </w:r>
    </w:p>
    <w:p>
      <w:pPr>
        <w:spacing w:after="120"/>
        <w:ind w:left="720"/>
      </w:pPr>
      <w:r>
        <w:rPr>
          <w:rFonts w:ascii="Arial" w:cs="Arial" w:eastAsia="Arial" w:hAnsi="Arial"/>
          <w:sz w:val="24"/>
          <w:szCs w:val="24"/>
        </w:rPr>
        <w:t xml:space="preserve">The steering sensitivity distribution. Each component represents the fraction of total metric sensitivity carried by carrier j. Normalisation of the metric diagonal produces a valid composition.</w:t>
      </w:r>
    </w:p>
    <w:p>
      <w:pPr>
        <w:spacing w:after="60"/>
      </w:pPr>
    </w:p>
    <w:p>
      <w:pPr>
        <w:spacing w:after="120"/>
      </w:pPr>
      <w:r>
        <w:rPr>
          <w:rFonts w:ascii="Arial" w:cs="Arial" w:eastAsia="Arial" w:hAnsi="Arial"/>
          <w:b/>
          <w:bCs/>
          <w:sz w:val="24"/>
          <w:szCs w:val="24"/>
        </w:rPr>
        <w:t xml:space="preserve">(c) Spectral: </w:t>
      </w:r>
      <w:r>
        <w:rPr>
          <w:rFonts w:ascii="Arial" w:cs="Arial" w:eastAsia="Arial" w:hAnsi="Arial"/>
          <w:sz w:val="24"/>
          <w:szCs w:val="24"/>
        </w:rPr>
        <w:t xml:space="preserve">s_j = P_j / ∑ P_k</w:t>
      </w:r>
    </w:p>
    <w:p>
      <w:pPr>
        <w:spacing w:after="120"/>
        <w:ind w:left="720"/>
      </w:pPr>
      <w:r>
        <w:rPr>
          <w:rFonts w:ascii="Arial" w:cs="Arial" w:eastAsia="Arial" w:hAnsi="Arial"/>
          <w:sz w:val="24"/>
          <w:szCs w:val="24"/>
        </w:rPr>
        <w:t xml:space="preserve">The total FFT power per carrier, normalised. Each component represents the fraction of total spectral power in carrier j. This is a time-averaged composition (one per series, not per time step).</w:t>
      </w:r>
    </w:p>
    <w:p>
      <w:pPr>
        <w:spacing w:after="60"/>
      </w:pPr>
    </w:p>
    <w:p>
      <w:pPr>
        <w:spacing w:after="120"/>
      </w:pPr>
      <w:r>
        <w:rPr>
          <w:rFonts w:ascii="Arial" w:cs="Arial" w:eastAsia="Arial" w:hAnsi="Arial"/>
          <w:sz w:val="24"/>
          <w:szCs w:val="24"/>
        </w:rPr>
        <w:t xml:space="preserve">Each constructor is a map from the CNT output at level k to a new composition in S^D, which becomes the input for level k+1.</w:t>
      </w:r>
    </w:p>
    <w:p>
      <w:pPr>
        <w:pStyle w:val="Heading2"/>
      </w:pPr>
      <w:r>
        <w:rPr>
          <w:rFonts w:ascii="Arial" w:cs="Arial" w:eastAsia="Arial" w:hAnsi="Arial"/>
          <w:b/>
          <w:bCs/>
          <w:sz w:val="28"/>
          <w:szCs w:val="28"/>
        </w:rPr>
        <w:t xml:space="preserve">19.3 Dynamical Depth (δ)</w:t>
      </w:r>
    </w:p>
    <w:p>
      <w:pPr>
        <w:spacing w:after="120"/>
      </w:pPr>
      <w:r>
        <w:rPr>
          <w:rFonts w:ascii="Arial" w:cs="Arial" w:eastAsia="Arial" w:hAnsi="Arial"/>
          <w:sz w:val="24"/>
          <w:szCs w:val="24"/>
        </w:rPr>
        <w:t xml:space="preserve">The dynamical depth is the number of productive recursion levels before signal exhaustion:</w:t>
      </w:r>
    </w:p>
    <w:p>
      <w:pPr>
        <w:spacing w:after="80" w:before="80"/>
        <w:ind w:left="720"/>
      </w:pPr>
      <w:r>
        <w:rPr>
          <w:rFonts w:ascii="Arial" w:cs="Arial" w:eastAsia="Arial" w:hAnsi="Arial"/>
          <w:i/>
          <w:iCs/>
          <w:sz w:val="24"/>
          <w:szCs w:val="24"/>
        </w:rPr>
        <w:t xml:space="preserve">δ = max(δ_energy, δ_curvature)</w:t>
      </w:r>
    </w:p>
    <w:p>
      <w:pPr>
        <w:spacing w:after="120"/>
      </w:pPr>
      <w:r>
        <w:rPr>
          <w:rFonts w:ascii="Arial" w:cs="Arial" w:eastAsia="Arial" w:hAnsi="Arial"/>
          <w:sz w:val="24"/>
          <w:szCs w:val="24"/>
        </w:rPr>
        <w:t xml:space="preserve">Signal exhaustion is detected by flatness criteria:</w:t>
      </w:r>
    </w:p>
    <w:p>
      <w:pPr>
        <w:spacing w:after="120"/>
        <w:ind w:left="720"/>
      </w:pPr>
      <w:r>
        <w:rPr>
          <w:rFonts w:ascii="Arial" w:cs="Arial" w:eastAsia="Arial" w:hAnsi="Arial"/>
          <w:sz w:val="24"/>
          <w:szCs w:val="24"/>
        </w:rPr>
        <w:t xml:space="preserve">Angular velocity variance &lt; 10^-6 (OMEGA_FLAT).</w:t>
      </w:r>
    </w:p>
    <w:p>
      <w:pPr>
        <w:spacing w:after="120"/>
        <w:ind w:left="720"/>
      </w:pPr>
      <w:r>
        <w:rPr>
          <w:rFonts w:ascii="Arial" w:cs="Arial" w:eastAsia="Arial" w:hAnsi="Arial"/>
          <w:sz w:val="24"/>
          <w:szCs w:val="24"/>
        </w:rPr>
        <w:t xml:space="preserve">Entropy variance ≈ 0 (HS_FLAT).</w:t>
      </w:r>
    </w:p>
    <w:p>
      <w:pPr>
        <w:spacing w:after="120"/>
        <w:ind w:left="720"/>
      </w:pPr>
      <w:r>
        <w:rPr>
          <w:rFonts w:ascii="Arial" w:cs="Arial" w:eastAsia="Arial" w:hAnsi="Arial"/>
          <w:sz w:val="24"/>
          <w:szCs w:val="24"/>
        </w:rPr>
        <w:t xml:space="preserve">Signal length &lt; 5 (SIGNAL_SHORT).</w:t>
      </w:r>
    </w:p>
    <w:p>
      <w:pPr>
        <w:spacing w:after="120"/>
      </w:pPr>
      <w:r>
        <w:rPr>
          <w:rFonts w:ascii="Arial" w:cs="Arial" w:eastAsia="Arial" w:hAnsi="Arial"/>
          <w:sz w:val="24"/>
          <w:szCs w:val="24"/>
        </w:rPr>
        <w:t xml:space="preserve">At depth δ, the derived composition is flat (uniform or locked), and further recursion produces no new information.</w:t>
      </w:r>
    </w:p>
    <w:p>
      <w:pPr>
        <w:pStyle w:val="Heading2"/>
      </w:pPr>
      <w:r>
        <w:rPr>
          <w:rFonts w:ascii="Arial" w:cs="Arial" w:eastAsia="Arial" w:hAnsi="Arial"/>
          <w:b/>
          <w:bCs/>
          <w:sz w:val="28"/>
          <w:szCs w:val="28"/>
        </w:rPr>
        <w:t xml:space="preserve">19.4 The Energy Tower</w:t>
      </w:r>
    </w:p>
    <w:p>
      <w:pPr>
        <w:spacing w:after="120"/>
      </w:pPr>
      <w:r>
        <w:rPr>
          <w:rFonts w:ascii="Arial" w:cs="Arial" w:eastAsia="Arial" w:hAnsi="Arial"/>
          <w:sz w:val="24"/>
          <w:szCs w:val="24"/>
        </w:rPr>
        <w:t xml:space="preserve">Energy compositions distribute CLR kinetic energy across carriers. At each level, differencing reduces the time series length by 1 (T decreases by 1 each level).</w:t>
      </w:r>
    </w:p>
    <w:p>
      <w:pPr>
        <w:spacing w:after="120"/>
      </w:pPr>
      <w:r>
        <w:rPr>
          <w:rFonts w:ascii="Arial" w:cs="Arial" w:eastAsia="Arial" w:hAnsi="Arial"/>
          <w:sz w:val="24"/>
          <w:szCs w:val="24"/>
        </w:rPr>
        <w:t xml:space="preserve">For the Hs-25 Cosmic Energy Budget: energy tower depth = 1. Termination reason: OMEGA_FLAT. The energy distribution has no meaningful angular velocity variance — all energy vectors point in similar directions. The tower collapses immediately because the cosmic energy budget evolves too slowly for multi-level energy structure.</w:t>
      </w:r>
    </w:p>
    <w:p>
      <w:pPr>
        <w:pStyle w:val="Heading2"/>
      </w:pPr>
      <w:r>
        <w:rPr>
          <w:rFonts w:ascii="Arial" w:cs="Arial" w:eastAsia="Arial" w:hAnsi="Arial"/>
          <w:b/>
          <w:bCs/>
          <w:sz w:val="28"/>
          <w:szCs w:val="28"/>
        </w:rPr>
        <w:t xml:space="preserve">19.5 The Curvature Tower</w:t>
      </w:r>
    </w:p>
    <w:p>
      <w:pPr>
        <w:spacing w:after="120"/>
      </w:pPr>
      <w:r>
        <w:rPr>
          <w:rFonts w:ascii="Arial" w:cs="Arial" w:eastAsia="Arial" w:hAnsi="Arial"/>
          <w:sz w:val="24"/>
          <w:szCs w:val="24"/>
        </w:rPr>
        <w:t xml:space="preserve">Curvature compositions distribute metric sensitivity across carriers. The time series length T is preserved at each level (no differencing required; the metric tensor is computed from the composition directly).</w:t>
      </w:r>
    </w:p>
    <w:p>
      <w:pPr>
        <w:spacing w:after="120"/>
      </w:pPr>
      <w:r>
        <w:rPr>
          <w:rFonts w:ascii="Arial" w:cs="Arial" w:eastAsia="Arial" w:hAnsi="Arial"/>
          <w:sz w:val="24"/>
          <w:szCs w:val="24"/>
        </w:rPr>
        <w:t xml:space="preserve">For the Hs-25 Cosmic Energy Budget: curvature tower depth = 9. Termination reason: LIMIT_CYCLE_P2 (period-2 convergence detected). Dark Energy is the helmsman at every level — 100% dominance across all 9 levels. The curvature tower reveals that Dark Energy controls not just the composition, but all 9 levels of its differential structure.</w:t>
      </w:r>
    </w:p>
    <w:p>
      <w:pPr>
        <w:pStyle w:val="Heading2"/>
      </w:pPr>
      <w:r>
        <w:rPr>
          <w:rFonts w:ascii="Arial" w:cs="Arial" w:eastAsia="Arial" w:hAnsi="Arial"/>
          <w:b/>
          <w:bCs/>
          <w:sz w:val="28"/>
          <w:szCs w:val="28"/>
        </w:rPr>
        <w:t xml:space="preserve">19.6 Depth as Complexity Measure</w:t>
      </w:r>
    </w:p>
    <w:p>
      <w:pPr>
        <w:spacing w:after="120"/>
      </w:pPr>
      <w:r>
        <w:rPr>
          <w:rFonts w:ascii="Arial" w:cs="Arial" w:eastAsia="Arial" w:hAnsi="Arial"/>
          <w:sz w:val="24"/>
          <w:szCs w:val="24"/>
        </w:rPr>
        <w:t xml:space="preserve">The dynamical depth δ measures intrinsic compositional complexity: how many orders of derivative structure contain non-trivial information. A system with δ = 1 has simple dynamics (one level exhausts the signal). A system with δ = 9 has deep recursive structure. The depth is a computable, reproducible, deterministic characteristic of the data.</w:t>
      </w:r>
    </w:p>
    <w:p>
      <w:r>
        <w:br w:type="page"/>
      </w:r>
    </w:p>
    <w:p>
      <w:pPr>
        <w:pStyle w:val="Heading1"/>
      </w:pPr>
      <w:r>
        <w:rPr>
          <w:rFonts w:ascii="Arial" w:cs="Arial" w:eastAsia="Arial" w:hAnsi="Arial"/>
          <w:b/>
          <w:bCs/>
          <w:sz w:val="32"/>
          <w:szCs w:val="32"/>
        </w:rPr>
        <w:t xml:space="preserve">Chapter 20: Convergence Theory</w:t>
      </w:r>
    </w:p>
    <w:p>
      <w:pPr>
        <w:spacing w:after="120"/>
      </w:pPr>
      <w:r>
        <w:rPr>
          <w:rFonts w:ascii="Arial" w:cs="Arial" w:eastAsia="Arial" w:hAnsi="Arial"/>
          <w:sz w:val="24"/>
          <w:szCs w:val="24"/>
        </w:rPr>
        <w:t xml:space="preserve">This chapter characterises how the recursive tower converges and the attractor structures that emerge.</w:t>
      </w:r>
    </w:p>
    <w:p>
      <w:pPr>
        <w:pStyle w:val="Heading2"/>
      </w:pPr>
      <w:r>
        <w:rPr>
          <w:rFonts w:ascii="Arial" w:cs="Arial" w:eastAsia="Arial" w:hAnsi="Arial"/>
          <w:b/>
          <w:bCs/>
          <w:sz w:val="28"/>
          <w:szCs w:val="28"/>
        </w:rPr>
        <w:t xml:space="preserve">20.1 Limit Cycle Detection</w:t>
      </w:r>
    </w:p>
    <w:p>
      <w:pPr>
        <w:spacing w:after="120"/>
      </w:pPr>
      <w:r>
        <w:rPr>
          <w:rFonts w:ascii="Arial" w:cs="Arial" w:eastAsia="Arial" w:hAnsi="Arial"/>
          <w:sz w:val="24"/>
          <w:szCs w:val="24"/>
        </w:rPr>
        <w:t xml:space="preserve">At each level k, the mean entropy Hs(mean) is tracked. Two convergence patterns are detected:</w:t>
      </w:r>
    </w:p>
    <w:p>
      <w:pPr>
        <w:spacing w:after="60"/>
      </w:pPr>
    </w:p>
    <w:p>
      <w:pPr>
        <w:spacing w:after="120"/>
      </w:pPr>
      <w:r>
        <w:rPr>
          <w:rFonts w:ascii="Arial" w:cs="Arial" w:eastAsia="Arial" w:hAnsi="Arial"/>
          <w:b/>
          <w:bCs/>
          <w:sz w:val="24"/>
          <w:szCs w:val="24"/>
        </w:rPr>
        <w:t xml:space="preserve">Period-1 (convergence): </w:t>
      </w:r>
      <w:r>
        <w:rPr>
          <w:rFonts w:ascii="Arial" w:cs="Arial" w:eastAsia="Arial" w:hAnsi="Arial"/>
          <w:sz w:val="24"/>
          <w:szCs w:val="24"/>
        </w:rPr>
        <w:t xml:space="preserve">|Hs_k - Hs_{k-1}| / |Hs_{k-1}| &lt; ρ</w:t>
      </w:r>
    </w:p>
    <w:p>
      <w:pPr>
        <w:spacing w:after="120"/>
        <w:ind w:left="720"/>
      </w:pPr>
      <w:r>
        <w:rPr>
          <w:rFonts w:ascii="Arial" w:cs="Arial" w:eastAsia="Arial" w:hAnsi="Arial"/>
          <w:sz w:val="24"/>
          <w:szCs w:val="24"/>
        </w:rPr>
        <w:t xml:space="preserve">Consecutive levels produce the same entropy. The tower has reached a fixed point.</w:t>
      </w:r>
    </w:p>
    <w:p>
      <w:pPr>
        <w:spacing w:after="60"/>
      </w:pPr>
    </w:p>
    <w:p>
      <w:pPr>
        <w:spacing w:after="120"/>
      </w:pPr>
      <w:r>
        <w:rPr>
          <w:rFonts w:ascii="Arial" w:cs="Arial" w:eastAsia="Arial" w:hAnsi="Arial"/>
          <w:b/>
          <w:bCs/>
          <w:sz w:val="24"/>
          <w:szCs w:val="24"/>
        </w:rPr>
        <w:t xml:space="preserve">Period-2 (oscillation): </w:t>
      </w:r>
      <w:r>
        <w:rPr>
          <w:rFonts w:ascii="Arial" w:cs="Arial" w:eastAsia="Arial" w:hAnsi="Arial"/>
          <w:sz w:val="24"/>
          <w:szCs w:val="24"/>
        </w:rPr>
        <w:t xml:space="preserve">|Hs_k - Hs_{k-2}| / |Hs_{k-2}| &lt; ρ for both parities</w:t>
      </w:r>
    </w:p>
    <w:p>
      <w:pPr>
        <w:spacing w:after="120"/>
        <w:ind w:left="720"/>
      </w:pPr>
      <w:r>
        <w:rPr>
          <w:rFonts w:ascii="Arial" w:cs="Arial" w:eastAsia="Arial" w:hAnsi="Arial"/>
          <w:sz w:val="24"/>
          <w:szCs w:val="24"/>
        </w:rPr>
        <w:t xml:space="preserve">Even levels converge to one value, odd levels to another. The tower oscillates between two entropy attractors.</w:t>
      </w:r>
    </w:p>
    <w:p>
      <w:pPr>
        <w:pStyle w:val="Heading2"/>
      </w:pPr>
      <w:r>
        <w:rPr>
          <w:rFonts w:ascii="Arial" w:cs="Arial" w:eastAsia="Arial" w:hAnsi="Arial"/>
          <w:b/>
          <w:bCs/>
          <w:sz w:val="28"/>
          <w:szCs w:val="28"/>
        </w:rPr>
        <w:t xml:space="preserve">20.2 Convergence Precision Target</w:t>
      </w:r>
    </w:p>
    <w:p>
      <w:pPr>
        <w:spacing w:after="120"/>
      </w:pPr>
      <w:r>
        <w:rPr>
          <w:rFonts w:ascii="Arial" w:cs="Arial" w:eastAsia="Arial" w:hAnsi="Arial"/>
          <w:sz w:val="24"/>
          <w:szCs w:val="24"/>
        </w:rPr>
        <w:t xml:space="preserve">The convergence threshold is ρ = 1% (CONVERGENCE_PCT = 0.01). The system terminates when the residual (relative change in Hs between same-parity levels) drops below this threshold. The 1% target balances depth exploration against numerical noise.</w:t>
      </w:r>
    </w:p>
    <w:p>
      <w:pPr>
        <w:pStyle w:val="Heading2"/>
      </w:pPr>
      <w:r>
        <w:rPr>
          <w:rFonts w:ascii="Arial" w:cs="Arial" w:eastAsia="Arial" w:hAnsi="Arial"/>
          <w:b/>
          <w:bCs/>
          <w:sz w:val="28"/>
          <w:szCs w:val="28"/>
        </w:rPr>
        <w:t xml:space="preserve">20.3 The Period-2 Attractor</w:t>
      </w:r>
    </w:p>
    <w:p>
      <w:pPr>
        <w:spacing w:after="120"/>
      </w:pPr>
      <w:r>
        <w:rPr>
          <w:rFonts w:ascii="Arial" w:cs="Arial" w:eastAsia="Arial" w:hAnsi="Arial"/>
          <w:sz w:val="24"/>
          <w:szCs w:val="24"/>
        </w:rPr>
        <w:t xml:space="preserve">The curvature tower of the Hs-25 Cosmic Energy Budget exhibits a period-2 attractor:</w:t>
      </w:r>
    </w:p>
    <w:p>
      <w:pPr>
        <w:spacing w:after="80" w:before="80"/>
        <w:ind w:left="720"/>
      </w:pPr>
      <w:r>
        <w:rPr>
          <w:rFonts w:ascii="Arial" w:cs="Arial" w:eastAsia="Arial" w:hAnsi="Arial"/>
          <w:i/>
          <w:iCs/>
          <w:sz w:val="24"/>
          <w:szCs w:val="24"/>
        </w:rPr>
        <w:t xml:space="preserve">Hs_even ≈ 0.296</w:t>
      </w:r>
    </w:p>
    <w:p>
      <w:pPr>
        <w:spacing w:after="80" w:before="80"/>
        <w:ind w:left="720"/>
      </w:pPr>
      <w:r>
        <w:rPr>
          <w:rFonts w:ascii="Arial" w:cs="Arial" w:eastAsia="Arial" w:hAnsi="Arial"/>
          <w:i/>
          <w:iCs/>
          <w:sz w:val="24"/>
          <w:szCs w:val="24"/>
        </w:rPr>
        <w:t xml:space="preserve">Hs_odd ≈ 0.664</w:t>
      </w:r>
    </w:p>
    <w:p>
      <w:pPr>
        <w:spacing w:after="80" w:before="80"/>
        <w:ind w:left="720"/>
      </w:pPr>
      <w:r>
        <w:rPr>
          <w:rFonts w:ascii="Arial" w:cs="Arial" w:eastAsia="Arial" w:hAnsi="Arial"/>
          <w:i/>
          <w:iCs/>
          <w:sz w:val="24"/>
          <w:szCs w:val="24"/>
        </w:rPr>
        <w:t xml:space="preserve">Amplitude ≈ 0.368</w:t>
      </w:r>
    </w:p>
    <w:p>
      <w:pPr>
        <w:spacing w:after="80" w:before="80"/>
        <w:ind w:left="720"/>
      </w:pPr>
      <w:r>
        <w:rPr>
          <w:rFonts w:ascii="Arial" w:cs="Arial" w:eastAsia="Arial" w:hAnsi="Arial"/>
          <w:i/>
          <w:iCs/>
          <w:sz w:val="24"/>
          <w:szCs w:val="24"/>
        </w:rPr>
        <w:t xml:space="preserve">Residual at convergence: 0.73% (below 1% target, at level 9)</w:t>
      </w:r>
    </w:p>
    <w:p>
      <w:pPr>
        <w:spacing w:after="120"/>
      </w:pPr>
      <w:r>
        <w:rPr>
          <w:rFonts w:ascii="Arial" w:cs="Arial" w:eastAsia="Arial" w:hAnsi="Arial"/>
          <w:sz w:val="24"/>
          <w:szCs w:val="24"/>
        </w:rPr>
        <w:t xml:space="preserve">The tower alternates between a low-entropy state (Hs ≈ 0.296, dominated by one carrier) and a higher-entropy state (Hs ≈ 0.664, more distributed). This oscillation is stable and reproducible.</w:t>
      </w:r>
    </w:p>
    <w:p>
      <w:pPr>
        <w:pStyle w:val="Heading2"/>
      </w:pPr>
      <w:r>
        <w:rPr>
          <w:rFonts w:ascii="Arial" w:cs="Arial" w:eastAsia="Arial" w:hAnsi="Arial"/>
          <w:b/>
          <w:bCs/>
          <w:sz w:val="28"/>
          <w:szCs w:val="28"/>
        </w:rPr>
        <w:t xml:space="preserve">20.4 Residual Storage</w:t>
      </w:r>
    </w:p>
    <w:p>
      <w:pPr>
        <w:spacing w:after="120"/>
      </w:pPr>
      <w:r>
        <w:rPr>
          <w:rFonts w:ascii="Arial" w:cs="Arial" w:eastAsia="Arial" w:hAnsi="Arial"/>
          <w:sz w:val="24"/>
          <w:szCs w:val="24"/>
        </w:rPr>
        <w:t xml:space="preserve">At termination, the following residuals are stored: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Field</w:t>
            </w:r>
          </w:p>
        </w:tc>
        <w:tc>
          <w:tcPr>
            <w:tcW w:type="dxa" w:w="58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Definition</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final_hs_delta</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Consecutive difference |Hs_k - Hs_{k-1}|</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final_hs_p2_delta</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Same-parity difference |Hs_k - Hs_{k-2}|</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final_hs_p2_pct</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Percentage residual (same-parity)</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attractor_even</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Mean Hs over even levels</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attractor_odd</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Mean Hs over odd levels</w:t>
            </w:r>
          </w:p>
        </w:tc>
      </w:tr>
      <w:tr>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attractor_amplitude</w:t>
            </w:r>
          </w:p>
        </w:tc>
        <w:tc>
          <w:tcPr>
            <w:tcW w:type="dxa" w:w="58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|attractor_even - attractor_odd|</w:t>
            </w:r>
          </w:p>
        </w:tc>
      </w:tr>
    </w:tbl>
    <w:p>
      <w:pPr>
        <w:pStyle w:val="Heading2"/>
      </w:pPr>
      <w:r>
        <w:rPr>
          <w:rFonts w:ascii="Arial" w:cs="Arial" w:eastAsia="Arial" w:hAnsi="Arial"/>
          <w:b/>
          <w:bCs/>
          <w:sz w:val="28"/>
          <w:szCs w:val="28"/>
        </w:rPr>
        <w:t xml:space="preserve">20.5 Convergence Rate</w:t>
      </w:r>
    </w:p>
    <w:p>
      <w:pPr>
        <w:spacing w:after="120"/>
      </w:pPr>
      <w:r>
        <w:rPr>
          <w:rFonts w:ascii="Arial" w:cs="Arial" w:eastAsia="Arial" w:hAnsi="Arial"/>
          <w:sz w:val="24"/>
          <w:szCs w:val="24"/>
        </w:rPr>
        <w:t xml:space="preserve">The convergence rates for the two tower types differ significantly:</w:t>
      </w:r>
    </w:p>
    <w:p>
      <w:pPr>
        <w:spacing w:after="80" w:before="80"/>
        <w:ind w:left="720"/>
      </w:pPr>
      <w:r>
        <w:rPr>
          <w:rFonts w:ascii="Arial" w:cs="Arial" w:eastAsia="Arial" w:hAnsi="Arial"/>
          <w:i/>
          <w:iCs/>
          <w:sz w:val="24"/>
          <w:szCs w:val="24"/>
        </w:rPr>
        <w:t xml:space="preserve">Energy tower: 0.044 Hs/level (fast collapse)</w:t>
      </w:r>
    </w:p>
    <w:p>
      <w:pPr>
        <w:spacing w:after="80" w:before="80"/>
        <w:ind w:left="720"/>
      </w:pPr>
      <w:r>
        <w:rPr>
          <w:rFonts w:ascii="Arial" w:cs="Arial" w:eastAsia="Arial" w:hAnsi="Arial"/>
          <w:i/>
          <w:iCs/>
          <w:sz w:val="24"/>
          <w:szCs w:val="24"/>
        </w:rPr>
        <w:t xml:space="preserve">Curvature tower: 0.301 Hs/level (slower, oscillating)</w:t>
      </w:r>
    </w:p>
    <w:p>
      <w:pPr>
        <w:spacing w:after="80" w:before="80"/>
        <w:ind w:left="720"/>
      </w:pPr>
      <w:r>
        <w:rPr>
          <w:rFonts w:ascii="Arial" w:cs="Arial" w:eastAsia="Arial" w:hAnsi="Arial"/>
          <w:i/>
          <w:iCs/>
          <w:sz w:val="24"/>
          <w:szCs w:val="24"/>
        </w:rPr>
        <w:t xml:space="preserve">Mean duality distance: 18.29 HLR</w:t>
      </w:r>
    </w:p>
    <w:p>
      <w:pPr>
        <w:spacing w:after="120"/>
      </w:pPr>
      <w:r>
        <w:rPr>
          <w:rFonts w:ascii="Arial" w:cs="Arial" w:eastAsia="Arial" w:hAnsi="Arial"/>
          <w:sz w:val="24"/>
          <w:szCs w:val="24"/>
        </w:rPr>
        <w:t xml:space="preserve">The energy tower converges rapidly because differencing destroys signal. The curvature tower converges slowly because the metric tensor preserves the time series length, allowing many levels of structure.</w:t>
      </w:r>
    </w:p>
    <w:p>
      <w:pPr>
        <w:pStyle w:val="Heading2"/>
      </w:pPr>
      <w:r>
        <w:rPr>
          <w:rFonts w:ascii="Arial" w:cs="Arial" w:eastAsia="Arial" w:hAnsi="Arial"/>
          <w:b/>
          <w:bCs/>
          <w:sz w:val="28"/>
          <w:szCs w:val="28"/>
        </w:rPr>
        <w:t xml:space="preserve">20.6 Interpretation</w:t>
      </w:r>
    </w:p>
    <w:p>
      <w:pPr>
        <w:spacing w:after="120"/>
      </w:pPr>
      <w:r>
        <w:rPr>
          <w:rFonts w:ascii="Arial" w:cs="Arial" w:eastAsia="Arial" w:hAnsi="Arial"/>
          <w:sz w:val="24"/>
          <w:szCs w:val="24"/>
        </w:rPr>
        <w:t xml:space="preserve">The period-2 cycle means the curvature map alternates between two compositional states. The metric involution M² = I (Chapter 18) provides the mechanism: curvature normalisation involves division by x_j, which is the core operation of M. The normalised diagonal c_j = κ_jj / ∑ κ_kk inverts the compositional weights, mimicking the metric dual. The oscillation between even and odd entropy attractors is the shadow of the involution in the recursive tower.</w:t>
      </w:r>
    </w:p>
    <w:p>
      <w:r>
        <w:br w:type="page"/>
      </w:r>
    </w:p>
    <w:p>
      <w:pPr>
        <w:pStyle w:val="Heading1"/>
      </w:pPr>
      <w:r>
        <w:rPr>
          <w:rFonts w:ascii="Arial" w:cs="Arial" w:eastAsia="Arial" w:hAnsi="Arial"/>
          <w:b/>
          <w:bCs/>
          <w:sz w:val="32"/>
          <w:szCs w:val="32"/>
        </w:rPr>
        <w:t xml:space="preserve">Chapter 21: Completeness Theorem</w:t>
      </w:r>
    </w:p>
    <w:p>
      <w:pPr>
        <w:pStyle w:val="Heading2"/>
      </w:pPr>
      <w:r>
        <w:rPr>
          <w:rFonts w:ascii="Arial" w:cs="Arial" w:eastAsia="Arial" w:hAnsi="Arial"/>
          <w:b/>
          <w:bCs/>
          <w:sz w:val="28"/>
          <w:szCs w:val="28"/>
        </w:rPr>
        <w:t xml:space="preserve">21.1 Statement</w:t>
      </w:r>
    </w:p>
    <w:p>
      <w:pPr>
        <w:spacing w:after="120"/>
      </w:pPr>
      <w:r>
        <w:rPr>
          <w:rFonts w:ascii="Arial" w:cs="Arial" w:eastAsia="Arial" w:hAnsi="Arial"/>
          <w:sz w:val="24"/>
          <w:szCs w:val="24"/>
        </w:rPr>
        <w:t xml:space="preserve">The CNT pipeline, extended with the recursive depth sounder, exhaustively extracts all computable directional information from a compositional time series. The tower terminates naturally at the dynamical depth δ. Beyond δ, no further non-trivial tensor structure exists.</w:t>
      </w:r>
    </w:p>
    <w:p>
      <w:pPr>
        <w:spacing w:after="120"/>
      </w:pPr>
      <w:r>
        <w:rPr>
          <w:rFonts w:ascii="Arial" w:cs="Arial" w:eastAsia="Arial" w:hAnsi="Arial"/>
          <w:sz w:val="24"/>
          <w:szCs w:val="24"/>
        </w:rPr>
        <w:t xml:space="preserve">This is not an assertion of mathematical omniscience. It is a precise statement about the resolving power of the instrument: given a finite compositional time series, the CNT pipeline produces a finite, deterministic, complete set of measurements, and the depth δ marks the point where further recursion yields no additional information.</w:t>
      </w:r>
    </w:p>
    <w:p>
      <w:pPr>
        <w:pStyle w:val="Heading2"/>
      </w:pPr>
      <w:r>
        <w:rPr>
          <w:rFonts w:ascii="Arial" w:cs="Arial" w:eastAsia="Arial" w:hAnsi="Arial"/>
          <w:b/>
          <w:bCs/>
          <w:sz w:val="28"/>
          <w:szCs w:val="28"/>
        </w:rPr>
        <w:t xml:space="preserve">21.2 Four-Program Pipeline</w:t>
      </w:r>
    </w:p>
    <w:p>
      <w:pPr>
        <w:spacing w:after="120"/>
      </w:pPr>
      <w:r>
        <w:rPr>
          <w:rFonts w:ascii="Arial" w:cs="Arial" w:eastAsia="Arial" w:hAnsi="Arial"/>
          <w:sz w:val="24"/>
          <w:szCs w:val="24"/>
        </w:rPr>
        <w:t xml:space="preserve">The complete CNT pipeline consists of four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4360"/>
      </w:tblGrid>
      <w:tr>
        <w:tc>
          <w:tcPr>
            <w:tcW w:type="dxa" w:w="1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Program</w:t>
            </w:r>
          </w:p>
        </w:tc>
        <w:tc>
          <w:tcPr>
            <w:tcW w:type="dxa" w:w="3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Script</w:t>
            </w:r>
          </w:p>
        </w:tc>
        <w:tc>
          <w:tcPr>
            <w:tcW w:type="dxa" w:w="4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Function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Program 1</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cnt_tensor_engine.py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CSV → CNT tensor JSON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Program 2</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cnt_analysis.py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 JSON → Stage 1/2/3 + dynamical systems + control theory + information theory analysis</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Program 3</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cnt_spectrum_analyzer.py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 JSON → 12-page spectral PDF</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Program 4</w:t>
            </w:r>
          </w:p>
        </w:tc>
        <w:tc>
          <w:tcPr>
            <w:tcW w:type="dxa" w:w="3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cnt_depth_sounder.py</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CNT JSON → recursive depth sounding JSON</w:t>
            </w:r>
          </w:p>
        </w:tc>
      </w:tr>
    </w:tbl>
    <w:p>
      <w:pPr>
        <w:pStyle w:val="Heading2"/>
      </w:pPr>
      <w:r>
        <w:rPr>
          <w:rFonts w:ascii="Arial" w:cs="Arial" w:eastAsia="Arial" w:hAnsi="Arial"/>
          <w:b/>
          <w:bCs/>
          <w:sz w:val="28"/>
          <w:szCs w:val="28"/>
        </w:rPr>
        <w:t xml:space="preserve">21.3 The Apex</w:t>
      </w:r>
    </w:p>
    <w:p>
      <w:pPr>
        <w:spacing w:after="120"/>
      </w:pPr>
      <w:r>
        <w:rPr>
          <w:rFonts w:ascii="Arial" w:cs="Arial" w:eastAsia="Arial" w:hAnsi="Arial"/>
          <w:sz w:val="24"/>
          <w:szCs w:val="24"/>
        </w:rPr>
        <w:t xml:space="preserve">Programs 1-4 together provide the complete measurement of compositional motion through Aitchison space:</w:t>
      </w:r>
    </w:p>
    <w:p>
      <w:pPr>
        <w:spacing w:after="120"/>
        <w:ind w:left="720"/>
      </w:pPr>
      <w:r>
        <w:rPr>
          <w:rFonts w:ascii="Arial" w:cs="Arial" w:eastAsia="Arial" w:hAnsi="Arial"/>
          <w:sz w:val="24"/>
          <w:szCs w:val="24"/>
        </w:rPr>
        <w:t xml:space="preserve">All pairwise bearings (θ) — where is the composition heading.</w:t>
      </w:r>
    </w:p>
    <w:p>
      <w:pPr>
        <w:spacing w:after="120"/>
        <w:ind w:left="720"/>
      </w:pPr>
      <w:r>
        <w:rPr>
          <w:rFonts w:ascii="Arial" w:cs="Arial" w:eastAsia="Arial" w:hAnsi="Arial"/>
          <w:sz w:val="24"/>
          <w:szCs w:val="24"/>
        </w:rPr>
        <w:t xml:space="preserve">All angular velocities (ω) — how fast is the bearing changing.</w:t>
      </w:r>
    </w:p>
    <w:p>
      <w:pPr>
        <w:spacing w:after="120"/>
        <w:ind w:left="720"/>
      </w:pPr>
      <w:r>
        <w:rPr>
          <w:rFonts w:ascii="Arial" w:cs="Arial" w:eastAsia="Arial" w:hAnsi="Arial"/>
          <w:sz w:val="24"/>
          <w:szCs w:val="24"/>
        </w:rPr>
        <w:t xml:space="preserve">The full metric tensor (κ_HS) — how sensitive is each carrier to perturbation.</w:t>
      </w:r>
    </w:p>
    <w:p>
      <w:pPr>
        <w:spacing w:after="120"/>
        <w:ind w:left="720"/>
      </w:pPr>
      <w:r>
        <w:rPr>
          <w:rFonts w:ascii="Arial" w:cs="Arial" w:eastAsia="Arial" w:hAnsi="Arial"/>
          <w:sz w:val="24"/>
          <w:szCs w:val="24"/>
        </w:rPr>
        <w:t xml:space="preserve">The helmsman sequence (σ) — which carrier steers the composition at each step.</w:t>
      </w:r>
    </w:p>
    <w:p>
      <w:pPr>
        <w:spacing w:after="120"/>
        <w:ind w:left="720"/>
      </w:pPr>
      <w:r>
        <w:rPr>
          <w:rFonts w:ascii="Arial" w:cs="Arial" w:eastAsia="Arial" w:hAnsi="Arial"/>
          <w:sz w:val="24"/>
          <w:szCs w:val="24"/>
        </w:rPr>
        <w:t xml:space="preserve">Cross-spectral analysis — magnitude, phase, coherence, transfer function, impulse response, cepstrum, STFT.</w:t>
      </w:r>
    </w:p>
    <w:p>
      <w:pPr>
        <w:spacing w:after="120"/>
        <w:ind w:left="720"/>
      </w:pPr>
      <w:r>
        <w:rPr>
          <w:rFonts w:ascii="Arial" w:cs="Arial" w:eastAsia="Arial" w:hAnsi="Arial"/>
          <w:sz w:val="24"/>
          <w:szCs w:val="24"/>
        </w:rPr>
        <w:t xml:space="preserve">Recursive depth with convergence characterisation — how deep the structure goes and what attractors emerge.</w:t>
      </w:r>
    </w:p>
    <w:p>
      <w:pPr>
        <w:pStyle w:val="Heading2"/>
      </w:pPr>
      <w:r>
        <w:rPr>
          <w:rFonts w:ascii="Arial" w:cs="Arial" w:eastAsia="Arial" w:hAnsi="Arial"/>
          <w:b/>
          <w:bCs/>
          <w:sz w:val="28"/>
          <w:szCs w:val="28"/>
        </w:rPr>
        <w:t xml:space="preserve">21.4 The Tool Meets the Data</w:t>
      </w:r>
    </w:p>
    <w:p>
      <w:pPr>
        <w:spacing w:after="120"/>
      </w:pPr>
      <w:r>
        <w:rPr>
          <w:rFonts w:ascii="Arial" w:cs="Arial" w:eastAsia="Arial" w:hAnsi="Arial"/>
          <w:sz w:val="24"/>
          <w:szCs w:val="24"/>
        </w:rPr>
        <w:t xml:space="preserve">The CNT is the instrument. The compositional time series is the device under test (DUT). The recursive depth δ is where the instrument's resolving power meets the data's information content.</w:t>
      </w:r>
    </w:p>
    <w:p>
      <w:pPr>
        <w:spacing w:after="120"/>
      </w:pPr>
      <w:r>
        <w:rPr>
          <w:rFonts w:ascii="Arial" w:cs="Arial" w:eastAsia="Arial" w:hAnsi="Arial"/>
          <w:sz w:val="24"/>
          <w:szCs w:val="24"/>
        </w:rPr>
        <w:t xml:space="preserve">At depth δ, the tool and the data reach mutual exhaustion. The derived compositions become flat (uniform entropy, zero angular velocity variance, or insufficient signal length). No further tensor structure can be extracted because none remains.</w:t>
      </w:r>
    </w:p>
    <w:p>
      <w:pPr>
        <w:spacing w:after="120"/>
      </w:pPr>
      <w:r>
        <w:rPr>
          <w:rFonts w:ascii="Arial" w:cs="Arial" w:eastAsia="Arial" w:hAnsi="Arial"/>
          <w:sz w:val="24"/>
          <w:szCs w:val="24"/>
        </w:rPr>
        <w:t xml:space="preserve">This is a computable, reproducible, deterministic characteristic of the (instrument, DUT) pair. Different data sets produce different depths. The depth is not a parameter to be tuned; it is a measurement to be read.</w:t>
      </w:r>
    </w:p>
    <w:p>
      <w:pPr>
        <w:pStyle w:val="Heading2"/>
      </w:pPr>
      <w:r>
        <w:rPr>
          <w:rFonts w:ascii="Arial" w:cs="Arial" w:eastAsia="Arial" w:hAnsi="Arial"/>
          <w:b/>
          <w:bCs/>
          <w:sz w:val="28"/>
          <w:szCs w:val="28"/>
        </w:rPr>
        <w:t xml:space="preserve">21.5 Mathematical Properties of the Complete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360"/>
        <w:gridCol w:w="1500"/>
      </w:tblGrid>
      <w:tr>
        <w:tc>
          <w:tcPr>
            <w:tcW w:type="dxa" w:w="2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Property</w:t>
            </w:r>
          </w:p>
        </w:tc>
        <w:tc>
          <w:tcPr>
            <w:tcW w:type="dxa" w:w="5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Description</w:t>
            </w:r>
          </w:p>
        </w:tc>
        <w:tc>
          <w:tcPr>
            <w:tcW w:type="dxa" w:w="15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Version</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Deterministic</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Same input always produces same output</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Closed-form</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All formulas are explicit; no iterative solvers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Parameter-free</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No tuning constants; the mathematics sets all thresholds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Scale-invariant</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Results unchanged by units or scaling</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Domain-agnostic</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Applies to any compositional data</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Self-terminating</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Recursive depth sounder halts at δ without external stop condition</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v3.0</w:t>
            </w:r>
          </w:p>
        </w:tc>
      </w:tr>
      <w:tr>
        <w:tc>
          <w:tcPr>
            <w:tcW w:type="dxa" w:w="2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Precision-bounded</w:t>
            </w:r>
          </w:p>
        </w:tc>
        <w:tc>
          <w:tcPr>
            <w:tcW w:type="dxa" w:w="5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All residuals quantified at IEEE 754 floor; no hidden precision loss</w:t>
            </w:r>
          </w:p>
        </w:tc>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v3.0</w:t>
            </w:r>
          </w:p>
        </w:tc>
      </w:tr>
    </w:tbl>
    <w:p>
      <w:pPr>
        <w:spacing w:after="60"/>
      </w:pPr>
    </w:p>
    <w:p>
      <w:pPr>
        <w:spacing w:after="60"/>
      </w:pPr>
    </w:p>
    <w:p>
      <w:r>
        <w:br w:type="page"/>
      </w:r>
    </w:p>
    <w:p>
      <w:pPr>
        <w:pStyle w:val="Heading1"/>
      </w:pPr>
      <w:r>
        <w:rPr>
          <w:rFonts w:ascii="Arial" w:cs="Arial" w:eastAsia="Arial" w:hAnsi="Arial"/>
          <w:b/>
          <w:bCs/>
          <w:sz w:val="32"/>
          <w:szCs w:val="32"/>
        </w:rPr>
        <w:t xml:space="preserve">Chapter 22: Key Discoveries</w:t>
      </w:r>
    </w:p>
    <w:p>
      <w:pPr>
        <w:spacing w:after="120"/>
      </w:pPr>
      <w:r>
        <w:rPr>
          <w:rFonts w:ascii="Arial" w:cs="Arial" w:eastAsia="Arial" w:hAnsi="Arial"/>
          <w:sz w:val="24"/>
          <w:szCs w:val="24"/>
        </w:rPr>
        <w:t xml:space="preserve">This chapter presents the six findings from the exploratory cycle that define the mathematical apex of the CNT instrument. Each discovery emerged from running the engine on real data and following the mathematics to its conclusion.</w:t>
      </w:r>
    </w:p>
    <w:p>
      <w:pPr>
        <w:spacing w:after="60"/>
      </w:pPr>
    </w:p>
    <w:p>
      <w:pPr>
        <w:pStyle w:val="Heading2"/>
      </w:pPr>
      <w:r>
        <w:rPr>
          <w:rFonts w:ascii="Arial" w:cs="Arial" w:eastAsia="Arial" w:hAnsi="Arial"/>
          <w:b/>
          <w:bCs/>
          <w:sz w:val="28"/>
          <w:szCs w:val="28"/>
        </w:rPr>
        <w:t xml:space="preserve">22.1 Metric Dual Involution M² = I</w:t>
      </w:r>
    </w:p>
    <w:p>
      <w:pPr>
        <w:spacing w:after="120"/>
      </w:pPr>
      <w:r>
        <w:rPr>
          <w:rFonts w:ascii="Arial" w:cs="Arial" w:eastAsia="Arial" w:hAnsi="Arial"/>
          <w:sz w:val="24"/>
          <w:szCs w:val="24"/>
        </w:rPr>
        <w:t xml:space="preserve">The map M(x)_j = (1/x_j) / Σ(1/x_k) is an exact involution on the simplex. It negates the CLR vector, its fixed point is the barycenter (maximum entropy), and the duality distance is exactly twice the Aitchison distance from centre. Verified numerically to 3.93×10⁻¹⁷.</w:t>
      </w:r>
    </w:p>
    <w:p>
      <w:pPr>
        <w:spacing w:after="120"/>
      </w:pPr>
      <w:r>
        <w:rPr>
          <w:rFonts w:ascii="Arial" w:cs="Arial" w:eastAsia="Arial" w:hAnsi="Arial"/>
          <w:sz w:val="24"/>
          <w:szCs w:val="24"/>
        </w:rPr>
        <w:t xml:space="preserve">This gives every composition a mirror on the opposite side of the simplex. In CLR coordinates, M is simply h → -h: a linear involution, the simplest non-trivial isometry of the Aitchison space. The map exchanges large and small components, mapping dominant carriers to subordinate ones and vice versa.</w:t>
      </w:r>
    </w:p>
    <w:p>
      <w:pPr>
        <w:spacing w:after="120"/>
      </w:pPr>
      <w:r>
        <w:rPr>
          <w:rFonts w:ascii="Arial" w:cs="Arial" w:eastAsia="Arial" w:hAnsi="Arial"/>
          <w:sz w:val="24"/>
          <w:szCs w:val="24"/>
        </w:rPr>
        <w:t xml:space="preserve">The geometric duality was hiding in plain sight. The reciprocal-and-renormalise operation is the most natural thing one can do to a composition, yet its properties (exact involution, CLR negation, barycentric fixed point) were not previously characterised in the CoDa literature as a unified result.</w:t>
      </w:r>
    </w:p>
    <w:p>
      <w:pPr>
        <w:spacing w:after="60"/>
      </w:pPr>
    </w:p>
    <w:p>
      <w:pPr>
        <w:pStyle w:val="Heading2"/>
      </w:pPr>
      <w:r>
        <w:rPr>
          <w:rFonts w:ascii="Arial" w:cs="Arial" w:eastAsia="Arial" w:hAnsi="Arial"/>
          <w:b/>
          <w:bCs/>
          <w:sz w:val="28"/>
          <w:szCs w:val="28"/>
        </w:rPr>
        <w:t xml:space="preserve">22.2 Period-2 Limit Cycle in the Curvature Tower</w:t>
      </w:r>
    </w:p>
    <w:p>
      <w:pPr>
        <w:spacing w:after="120"/>
      </w:pPr>
      <w:r>
        <w:rPr>
          <w:rFonts w:ascii="Arial" w:cs="Arial" w:eastAsia="Arial" w:hAnsi="Arial"/>
          <w:sz w:val="24"/>
          <w:szCs w:val="24"/>
        </w:rPr>
        <w:t xml:space="preserve">When the CNT is iterated through its own curvature-derived composition, the entropy index Hs does not converge to a fixed point. It oscillates between 0.296 and 0.664 with Dark Energy as helmsman at every level. This is a genuine attractor in compositional recursion space.</w:t>
      </w:r>
    </w:p>
    <w:p>
      <w:pPr>
        <w:spacing w:after="120"/>
      </w:pPr>
      <w:r>
        <w:rPr>
          <w:rFonts w:ascii="Arial" w:cs="Arial" w:eastAsia="Arial" w:hAnsi="Arial"/>
          <w:sz w:val="24"/>
          <w:szCs w:val="24"/>
        </w:rPr>
        <w:t xml:space="preserve">The oscillation has period 2: even levels converge to Hs ≈ 0.296 (low entropy, dominated by one carrier) and odd levels converge to Hs ≈ 0.664 (higher entropy, more distributed). The residual at convergence is 0.73%, below the 1% precision target, detected at recursion level 9.</w:t>
      </w:r>
    </w:p>
    <w:p>
      <w:pPr>
        <w:spacing w:after="120"/>
      </w:pPr>
      <w:r>
        <w:rPr>
          <w:rFonts w:ascii="Arial" w:cs="Arial" w:eastAsia="Arial" w:hAnsi="Arial"/>
          <w:sz w:val="24"/>
          <w:szCs w:val="24"/>
        </w:rPr>
        <w:t xml:space="preserve">The mechanism is the metric dual involution (Section 22.1). Curvature normalisation involves division by x_j, which is the core operation of M. The normalised diagonal c_j = κ_jj / Σ κ_kk inverts the compositional weights, mimicking M. The period-2 oscillation is the shadow of M² = I in the recursive tower.</w:t>
      </w:r>
    </w:p>
    <w:p>
      <w:pPr>
        <w:spacing w:after="120"/>
      </w:pPr>
      <w:r>
        <w:rPr>
          <w:rFonts w:ascii="Arial" w:cs="Arial" w:eastAsia="Arial" w:hAnsi="Arial"/>
          <w:sz w:val="24"/>
          <w:szCs w:val="24"/>
        </w:rPr>
        <w:t xml:space="preserve">The system has a heartbeat.</w:t>
      </w:r>
    </w:p>
    <w:p>
      <w:pPr>
        <w:spacing w:after="60"/>
      </w:pPr>
    </w:p>
    <w:p>
      <w:pPr>
        <w:pStyle w:val="Heading2"/>
      </w:pPr>
      <w:r>
        <w:rPr>
          <w:rFonts w:ascii="Arial" w:cs="Arial" w:eastAsia="Arial" w:hAnsi="Arial"/>
          <w:b/>
          <w:bCs/>
          <w:sz w:val="28"/>
          <w:szCs w:val="28"/>
        </w:rPr>
        <w:t xml:space="preserve">22.3 Energy Tower Instant Flatness</w:t>
      </w:r>
    </w:p>
    <w:p>
      <w:pPr>
        <w:spacing w:after="120"/>
      </w:pPr>
      <w:r>
        <w:rPr>
          <w:rFonts w:ascii="Arial" w:cs="Arial" w:eastAsia="Arial" w:hAnsi="Arial"/>
          <w:sz w:val="24"/>
          <w:szCs w:val="24"/>
        </w:rPr>
        <w:t xml:space="preserve">The energy-derived composition goes flat at depth 1. Angular velocity variance distributes uniformly across carriers in a single iteration. The energy tower collapses immediately because differencing reduces the time series length by 1 at each level, and the CLR kinetic energy distribution has no meaningful angular velocity variance.</w:t>
      </w:r>
    </w:p>
    <w:p>
      <w:pPr>
        <w:spacing w:after="120"/>
      </w:pPr>
      <w:r>
        <w:rPr>
          <w:rFonts w:ascii="Arial" w:cs="Arial" w:eastAsia="Arial" w:hAnsi="Arial"/>
          <w:sz w:val="24"/>
          <w:szCs w:val="24"/>
        </w:rPr>
        <w:t xml:space="preserve">Contrast with the curvature tower, which takes 9 levels to settle. The curvature tower preserves the time series length (no differencing required), allowing many levels of recursive structure.</w:t>
      </w:r>
    </w:p>
    <w:p>
      <w:pPr>
        <w:spacing w:after="120"/>
      </w:pPr>
      <w:r>
        <w:rPr>
          <w:rFonts w:ascii="Arial" w:cs="Arial" w:eastAsia="Arial" w:hAnsi="Arial"/>
          <w:sz w:val="24"/>
          <w:szCs w:val="24"/>
        </w:rPr>
        <w:t xml:space="preserve">The asymmetry between energy depth = 1 and curvature depth = 9 is an intrinsic complexity signature of the cosmic energy budget: energy information exhausts immediately while geometric information persists through 9 recursive layers. The depth ratio is a computable, reproducible characteristic of the data.</w:t>
      </w:r>
    </w:p>
    <w:p>
      <w:pPr>
        <w:spacing w:after="60"/>
      </w:pPr>
    </w:p>
    <w:p>
      <w:pPr>
        <w:pStyle w:val="Heading2"/>
      </w:pPr>
      <w:r>
        <w:rPr>
          <w:rFonts w:ascii="Arial" w:cs="Arial" w:eastAsia="Arial" w:hAnsi="Arial"/>
          <w:b/>
          <w:bCs/>
          <w:sz w:val="28"/>
          <w:szCs w:val="28"/>
        </w:rPr>
        <w:t xml:space="preserve">22.4 Arccos Precision Catastrophe</w:t>
      </w:r>
    </w:p>
    <w:p>
      <w:pPr>
        <w:spacing w:after="120"/>
      </w:pPr>
      <w:r>
        <w:rPr>
          <w:rFonts w:ascii="Arial" w:cs="Arial" w:eastAsia="Arial" w:hAnsi="Arial"/>
          <w:sz w:val="24"/>
          <w:szCs w:val="24"/>
        </w:rPr>
        <w:t xml:space="preserve">Calibration test T03 exposed a geometric defect in the naive CLR circle construction: h[2] = -(h[0]+h[1]) produces ||h||² = r²(2+sin2θ), a 53.6% norm variation that caused 9.9° angular velocity oscillations on a perfect circle where the true angular velocity is constant.</w:t>
      </w:r>
    </w:p>
    <w:p>
      <w:pPr>
        <w:spacing w:after="120"/>
      </w:pPr>
      <w:r>
        <w:rPr>
          <w:rFonts w:ascii="Arial" w:cs="Arial" w:eastAsia="Arial" w:hAnsi="Arial"/>
          <w:sz w:val="24"/>
          <w:szCs w:val="24"/>
        </w:rPr>
        <w:t xml:space="preserve">The root cause is the arccos instability. The naive formula ω = arccos(⟨h1, h2⟩ / (||h1|| ||h2||)) loses up to 8 significant digits when the argument approaches ±1 (small or large angles). The condition number of arccos diverges at these points.</w:t>
      </w:r>
    </w:p>
    <w:p>
      <w:pPr>
        <w:spacing w:after="120"/>
      </w:pPr>
      <w:r>
        <w:rPr>
          <w:rFonts w:ascii="Arial" w:cs="Arial" w:eastAsia="Arial" w:hAnsi="Arial"/>
          <w:sz w:val="24"/>
          <w:szCs w:val="24"/>
        </w:rPr>
        <w:t xml:space="preserve">The fix required three engine refinements:</w:t>
      </w:r>
    </w:p>
    <w:p>
      <w:pPr>
        <w:spacing w:after="120"/>
        <w:ind w:left="720"/>
      </w:pPr>
      <w:r>
        <w:rPr>
          <w:rFonts w:ascii="Arial" w:cs="Arial" w:eastAsia="Arial" w:hAnsi="Arial"/>
          <w:sz w:val="24"/>
          <w:szCs w:val="24"/>
        </w:rPr>
        <w:t xml:space="preserve">(1) arccos → atan2 angular velocity via the Lagrange identity, eliminating up to 8 digits of precision loss across the full angular range.</w:t>
      </w:r>
    </w:p>
    <w:p>
      <w:pPr>
        <w:spacing w:after="120"/>
        <w:ind w:left="720"/>
      </w:pPr>
      <w:r>
        <w:rPr>
          <w:rFonts w:ascii="Arial" w:cs="Arial" w:eastAsia="Arial" w:hAnsi="Arial"/>
          <w:sz w:val="24"/>
          <w:szCs w:val="24"/>
        </w:rPr>
        <w:t xml:space="preserve">(2) Helmert orthonormal basis for CLR circle construction, reducing norm deviation from 53.6% to 10⁻¹⁴.</w:t>
      </w:r>
    </w:p>
    <w:p>
      <w:pPr>
        <w:spacing w:after="120"/>
        <w:ind w:left="720"/>
      </w:pPr>
      <w:r>
        <w:rPr>
          <w:rFonts w:ascii="Arial" w:cs="Arial" w:eastAsia="Arial" w:hAnsi="Arial"/>
          <w:sz w:val="24"/>
          <w:szCs w:val="24"/>
        </w:rPr>
        <w:t xml:space="preserve">(3) Condition number diagnostic κ = max(x)/min(x) predicting available precision digits for any input composition.</w:t>
      </w:r>
    </w:p>
    <w:p>
      <w:pPr>
        <w:spacing w:after="120"/>
      </w:pPr>
      <w:r>
        <w:rPr>
          <w:rFonts w:ascii="Arial" w:cs="Arial" w:eastAsia="Arial" w:hAnsi="Arial"/>
          <w:sz w:val="24"/>
          <w:szCs w:val="24"/>
        </w:rPr>
        <w:t xml:space="preserve">Result: the CNT engine now operates at the IEEE 754 double precision floor for well-conditioned data. Stable to x = 10⁻¹⁵. Scales to D = 100. Angular velocity deviation reduced from 9.9° to 10⁻¹⁴ degrees.</w:t>
      </w:r>
    </w:p>
    <w:p>
      <w:pPr>
        <w:spacing w:after="60"/>
      </w:pPr>
    </w:p>
    <w:p>
      <w:pPr>
        <w:pStyle w:val="Heading2"/>
      </w:pPr>
      <w:r>
        <w:rPr>
          <w:rFonts w:ascii="Arial" w:cs="Arial" w:eastAsia="Arial" w:hAnsi="Arial"/>
          <w:b/>
          <w:bCs/>
          <w:sz w:val="28"/>
          <w:szCs w:val="28"/>
        </w:rPr>
        <w:t xml:space="preserve">22.5 Jet Bundle Connection</w:t>
      </w:r>
    </w:p>
    <w:p>
      <w:pPr>
        <w:spacing w:after="120"/>
      </w:pPr>
      <w:r>
        <w:rPr>
          <w:rFonts w:ascii="Arial" w:cs="Arial" w:eastAsia="Arial" w:hAnsi="Arial"/>
          <w:sz w:val="24"/>
          <w:szCs w:val="24"/>
        </w:rPr>
        <w:t xml:space="preserve">Each CNT recursion level adds one order of differential structure. Level 0 is the raw composition x(t). Level 1 is the bearing and velocity field computed from x. Level 2 is the curvature-of-curvature: the CNT applied to its own curvature-derived composition. The recursive depth tower is a jet bundle Jᵏ on the simplex.</w:t>
      </w:r>
    </w:p>
    <w:p>
      <w:pPr>
        <w:spacing w:after="120"/>
      </w:pPr>
      <w:r>
        <w:rPr>
          <w:rFonts w:ascii="Arial" w:cs="Arial" w:eastAsia="Arial" w:hAnsi="Arial"/>
          <w:sz w:val="24"/>
          <w:szCs w:val="24"/>
        </w:rPr>
        <w:t xml:space="preserve">The convergence depth δ becomes an intrinsic complexity measure: how many layers of differential structure the data supports before signal exhausts. A system with δ = 1 has simple dynamics. A system with δ = 9 has deep recursive structure with 9 orders of computable differential information.</w:t>
      </w:r>
    </w:p>
    <w:p>
      <w:pPr>
        <w:spacing w:after="120"/>
      </w:pPr>
      <w:r>
        <w:rPr>
          <w:rFonts w:ascii="Arial" w:cs="Arial" w:eastAsia="Arial" w:hAnsi="Arial"/>
          <w:sz w:val="24"/>
          <w:szCs w:val="24"/>
        </w:rPr>
        <w:t xml:space="preserve">The jet bundle interpretation connects the CNT to differential geometry in a precise way. Each level k of the tower corresponds to the k-th jet bundle Jᵏ(Sᴰ), where Sᴰ is the D-simplex. The tower terminates naturally when the jet at level δ carries no further non-trivial tensor structure.</w:t>
      </w:r>
    </w:p>
    <w:p>
      <w:pPr>
        <w:spacing w:after="60"/>
      </w:pPr>
    </w:p>
    <w:p>
      <w:pPr>
        <w:pStyle w:val="Heading2"/>
      </w:pPr>
      <w:r>
        <w:rPr>
          <w:rFonts w:ascii="Arial" w:cs="Arial" w:eastAsia="Arial" w:hAnsi="Arial"/>
          <w:b/>
          <w:bCs/>
          <w:sz w:val="28"/>
          <w:szCs w:val="28"/>
        </w:rPr>
        <w:t xml:space="preserve">22.6 Coal-Gas Informational Lock</w:t>
      </w:r>
    </w:p>
    <w:p>
      <w:pPr>
        <w:spacing w:after="120"/>
      </w:pPr>
      <w:r>
        <w:rPr>
          <w:rFonts w:ascii="Arial" w:cs="Arial" w:eastAsia="Arial" w:hAnsi="Arial"/>
          <w:sz w:val="24"/>
          <w:szCs w:val="24"/>
        </w:rPr>
        <w:t xml:space="preserve">The Japan EMBER 26-year energy data reveals an 8.4° bearing spread between Coal and Gas over the full 26-year period. Coal and Gas are informationally locked: their ratio is structurally constrained. The CNT detects this lock through the bearing variance channel.</w:t>
      </w:r>
    </w:p>
    <w:p>
      <w:pPr>
        <w:spacing w:after="120"/>
      </w:pPr>
      <w:r>
        <w:rPr>
          <w:rFonts w:ascii="Arial" w:cs="Arial" w:eastAsia="Arial" w:hAnsi="Arial"/>
          <w:sz w:val="24"/>
          <w:szCs w:val="24"/>
        </w:rPr>
        <w:t xml:space="preserve">Contrast with Hydro vs Other Fossil at 167° spread: maximum fan-out, the two carriers are informationally independent with no ratio constraint.</w:t>
      </w:r>
    </w:p>
    <w:p>
      <w:pPr>
        <w:spacing w:after="120"/>
      </w:pPr>
      <w:r>
        <w:rPr>
          <w:rFonts w:ascii="Arial" w:cs="Arial" w:eastAsia="Arial" w:hAnsi="Arial"/>
          <w:sz w:val="24"/>
          <w:szCs w:val="24"/>
        </w:rPr>
        <w:t xml:space="preserve">The ratio lock between Coal and Gas is not visible in the raw proportions. Both carriers change individually over the 26-year period, but their relative bearing remains within an 8.4° window. The CNT found a structural constraint that exists in the compositional geometry, not in the marginal time series.</w:t>
      </w:r>
    </w:p>
    <w:p>
      <w:pPr>
        <w:spacing w:after="120"/>
      </w:pPr>
      <w:r>
        <w:rPr>
          <w:rFonts w:ascii="Arial" w:cs="Arial" w:eastAsia="Arial" w:hAnsi="Arial"/>
          <w:sz w:val="24"/>
          <w:szCs w:val="24"/>
        </w:rPr>
        <w:t xml:space="preserve">This is the instrument in action: measuring structure that is invisible to component-by-component analysis.</w:t>
      </w:r>
    </w:p>
    <w:p>
      <w:pPr>
        <w:spacing w:after="60"/>
      </w:pPr>
    </w:p>
    <w:p>
      <w:pPr>
        <w:pStyle w:val="Heading2"/>
      </w:pPr>
      <w:r>
        <w:rPr>
          <w:rFonts w:ascii="Arial" w:cs="Arial" w:eastAsia="Arial" w:hAnsi="Arial"/>
          <w:b/>
          <w:bCs/>
          <w:sz w:val="28"/>
          <w:szCs w:val="28"/>
        </w:rPr>
        <w:t xml:space="preserve">22.7 The Through-Line</w:t>
      </w:r>
    </w:p>
    <w:p>
      <w:pPr>
        <w:spacing w:after="120"/>
      </w:pPr>
      <w:r>
        <w:rPr>
          <w:rFonts w:ascii="Arial" w:cs="Arial" w:eastAsia="Arial" w:hAnsi="Arial"/>
          <w:sz w:val="24"/>
          <w:szCs w:val="24"/>
        </w:rPr>
        <w:t xml:space="preserve">The six discoveries converge on a single conclusion. The CNT instrument is now:</w:t>
      </w:r>
    </w:p>
    <w:p>
      <w:pPr>
        <w:spacing w:after="120"/>
        <w:ind w:left="720"/>
      </w:pPr>
      <w:r>
        <w:rPr>
          <w:rFonts w:ascii="Arial" w:cs="Arial" w:eastAsia="Arial" w:hAnsi="Arial"/>
          <w:sz w:val="24"/>
          <w:szCs w:val="24"/>
        </w:rPr>
        <w:t xml:space="preserve">Self-terminating: the recursive depth sounder halts at the dynamical depth δ without any external stop condition. The tower terminates when the derived composition carries no further non-trivial tensor structure.</w:t>
      </w:r>
    </w:p>
    <w:p>
      <w:pPr>
        <w:spacing w:after="120"/>
        <w:ind w:left="720"/>
      </w:pPr>
      <w:r>
        <w:rPr>
          <w:rFonts w:ascii="Arial" w:cs="Arial" w:eastAsia="Arial" w:hAnsi="Arial"/>
          <w:sz w:val="24"/>
          <w:szCs w:val="24"/>
        </w:rPr>
        <w:t xml:space="preserve">Precision-bounded: all residuals are quantified at the IEEE 754 double precision floor. Every numerical operation has a known condition number. No hidden precision loss.</w:t>
      </w:r>
    </w:p>
    <w:p>
      <w:pPr>
        <w:spacing w:after="120"/>
      </w:pPr>
      <w:r>
        <w:rPr>
          <w:rFonts w:ascii="Arial" w:cs="Arial" w:eastAsia="Arial" w:hAnsi="Arial"/>
          <w:sz w:val="24"/>
          <w:szCs w:val="24"/>
        </w:rPr>
        <w:t xml:space="preserve">The tool meets the data. At depth δ, the instrument’s resolving power reaches the data’s information content. Both exhaust simultaneously. The depth is not a parameter to be tuned; it is a measurement to be read.</w:t>
      </w:r>
    </w:p>
    <w:p>
      <w:pPr>
        <w:spacing w:after="120"/>
      </w:pPr>
      <w:r>
        <w:rPr>
          <w:rFonts w:ascii="Arial" w:cs="Arial" w:eastAsia="Arial" w:hAnsi="Arial"/>
          <w:sz w:val="24"/>
          <w:szCs w:val="24"/>
        </w:rPr>
        <w:t xml:space="preserve">That is the apex.</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2800"/>
        <w:gridCol w:w="2560"/>
      </w:tblGrid>
      <w:tr>
        <w:tc>
          <w:tcPr>
            <w:tcW w:type="dxa" w:w="2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Discovery</w:t>
            </w:r>
          </w:p>
        </w:tc>
        <w:tc>
          <w:tcPr>
            <w:tcW w:type="dxa" w:w="1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Chapter</w:t>
            </w:r>
          </w:p>
        </w:tc>
        <w:tc>
          <w:tcPr>
            <w:tcW w:type="dxa" w:w="2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Key Quantity</w:t>
            </w:r>
          </w:p>
        </w:tc>
        <w:tc>
          <w:tcPr>
            <w:tcW w:type="dxa" w:w="25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Significance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Metric Dual Involution</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18, 22.1</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M² = I, residual 3.93e-17</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Geometric duality on the simplex</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Period-2 Limit Cycle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20, 22.2</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Hs ≈ 0.296 / 0.664</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Stable attractor in recursion space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Energy Tower Flatness</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19, 22.3</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Depth = 1 (OMEGA_FLAT)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Instant energy exhaustion</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Arccos Catastrophe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6, 22.4</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 digits lost → 0 lost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Precision floor achieved</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Jet Bundle Tower</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19, 22.5</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δ = 9 (cosmic data)</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Intrinsic complexity measure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Coal-Gas Lock</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22.6</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8.4° bearing spread</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Hidden ratio constraint</w:t>
            </w:r>
          </w:p>
        </w:tc>
      </w:tr>
    </w:tbl>
    <w:p>
      <w:pPr>
        <w:spacing w:after="60"/>
      </w:pPr>
    </w:p>
    <w:p>
      <w:r>
        <w:br w:type="page"/>
      </w:r>
    </w:p>
    <w:p>
      <w:pPr>
        <w:pStyle w:val="Heading1"/>
      </w:pPr>
      <w:r>
        <w:rPr>
          <w:rFonts w:ascii="Arial" w:cs="Arial" w:eastAsia="Arial" w:hAnsi="Arial"/>
          <w:b/>
          <w:bCs/>
          <w:sz w:val="32"/>
          <w:szCs w:val="32"/>
        </w:rPr>
        <w:t xml:space="preserve">Chapter 23: Impulse Response Theory</w:t>
      </w:r>
    </w:p>
    <w:p>
      <w:pPr>
        <w:spacing w:after="120"/>
      </w:pPr>
      <w:r>
        <w:rPr>
          <w:rFonts w:ascii="Arial" w:cs="Arial" w:eastAsia="Arial" w:hAnsi="Arial"/>
          <w:sz w:val="24"/>
          <w:szCs w:val="24"/>
        </w:rPr>
        <w:t xml:space="preserve">The metric dual involution M provides a standardised perturbation operator for any compositional system. Applying M to a composition and observing the curvature tower response constitutes a compositional impulse response test. This chapter develops the theory and presents empirical results across 19 systems in 7 domains.</w:t>
      </w:r>
    </w:p>
    <w:p>
      <w:pPr>
        <w:pStyle w:val="Heading2"/>
      </w:pPr>
      <w:r>
        <w:rPr>
          <w:rFonts w:ascii="Arial" w:cs="Arial" w:eastAsia="Arial" w:hAnsi="Arial"/>
          <w:b/>
          <w:bCs/>
          <w:sz w:val="28"/>
          <w:szCs w:val="28"/>
        </w:rPr>
        <w:t xml:space="preserve">23.1 The Metric Dual as Impulse</w:t>
      </w:r>
    </w:p>
    <w:p>
      <w:pPr>
        <w:spacing w:after="120"/>
      </w:pPr>
      <w:r>
        <w:rPr>
          <w:rFonts w:ascii="Arial" w:cs="Arial" w:eastAsia="Arial" w:hAnsi="Arial"/>
          <w:sz w:val="24"/>
          <w:szCs w:val="24"/>
        </w:rPr>
        <w:t xml:space="preserve">The metric dual M(x)_j = (1/x_j) / sum(1/x_k) acts in CLR space as negation: clr(M(x)) = -clr(x). This is the maximally informative perturbation available: it simultaneously inverts every carrier's relative standing. Since M is domain-independent (defined purely on the simplex), it provides a universal probe signal applicable to any compositional system.</w:t>
      </w:r>
    </w:p>
    <w:p>
      <w:pPr>
        <w:spacing w:after="120"/>
      </w:pPr>
      <w:r>
        <w:rPr>
          <w:rFonts w:ascii="Arial" w:cs="Arial" w:eastAsia="Arial" w:hAnsi="Arial"/>
          <w:sz w:val="24"/>
          <w:szCs w:val="24"/>
        </w:rPr>
        <w:t xml:space="preserve">The depth sounder iterates through M at each recursion level, creating a tower of derived compositions. The curvature Hs trajectory at successive levels constitutes the impulse response of the composition.</w:t>
      </w:r>
    </w:p>
    <w:p>
      <w:pPr>
        <w:pStyle w:val="Heading2"/>
      </w:pPr>
      <w:r>
        <w:rPr>
          <w:rFonts w:ascii="Arial" w:cs="Arial" w:eastAsia="Arial" w:hAnsi="Arial"/>
          <w:b/>
          <w:bCs/>
          <w:sz w:val="28"/>
          <w:szCs w:val="28"/>
        </w:rPr>
        <w:t xml:space="preserve">23.2 Three Impulse Response Parameters</w:t>
      </w:r>
    </w:p>
    <w:p>
      <w:pPr>
        <w:spacing w:after="120"/>
      </w:pPr>
      <w:r>
        <w:rPr>
          <w:rFonts w:ascii="Arial" w:cs="Arial" w:eastAsia="Arial" w:hAnsi="Arial"/>
          <w:sz w:val="24"/>
          <w:szCs w:val="24"/>
        </w:rPr>
        <w:t xml:space="preserve">The response is characterised by three measurable quantities:</w:t>
      </w:r>
    </w:p>
    <w:p>
      <w:pPr>
        <w:spacing w:after="120"/>
        <w:ind w:left="720"/>
      </w:pPr>
      <w:r>
        <w:rPr>
          <w:rFonts w:ascii="Arial" w:cs="Arial" w:eastAsia="Arial" w:hAnsi="Arial"/>
          <w:sz w:val="24"/>
          <w:szCs w:val="24"/>
        </w:rPr>
        <w:t xml:space="preserve">Amplitude A: The peak-to-peak attractor displacement |c_even - c_odd|, measuring how far the system swings when hit by the involution. Range: [0, 1].</w:t>
      </w:r>
    </w:p>
    <w:p>
      <w:pPr>
        <w:spacing w:after="120"/>
        <w:ind w:left="720"/>
      </w:pPr>
      <w:r>
        <w:rPr>
          <w:rFonts w:ascii="Arial" w:cs="Arial" w:eastAsia="Arial" w:hAnsi="Arial"/>
          <w:sz w:val="24"/>
          <w:szCs w:val="24"/>
        </w:rPr>
        <w:t xml:space="preserve">Depth delta: The settling time in recursion levels before convergence to the attractor. Range: [1, 22] observed.</w:t>
      </w:r>
    </w:p>
    <w:p>
      <w:pPr>
        <w:spacing w:after="120"/>
        <w:ind w:left="720"/>
      </w:pPr>
      <w:r>
        <w:rPr>
          <w:rFonts w:ascii="Arial" w:cs="Arial" w:eastAsia="Arial" w:hAnsi="Arial"/>
          <w:sz w:val="24"/>
          <w:szCs w:val="24"/>
        </w:rPr>
        <w:t xml:space="preserve">Damping zeta: The exponential decay rate of the amplitude from initial transient to steady state. Computed as zeta = -ln(A_final/A_initial) / delta.</w:t>
      </w:r>
    </w:p>
    <w:p>
      <w:pPr>
        <w:pStyle w:val="Heading2"/>
      </w:pPr>
      <w:r>
        <w:rPr>
          <w:rFonts w:ascii="Arial" w:cs="Arial" w:eastAsia="Arial" w:hAnsi="Arial"/>
          <w:b/>
          <w:bCs/>
          <w:sz w:val="28"/>
          <w:szCs w:val="28"/>
        </w:rPr>
        <w:t xml:space="preserve">23.3 Impulse Response Classification</w:t>
      </w:r>
    </w:p>
    <w:p>
      <w:pPr>
        <w:spacing w:after="120"/>
      </w:pPr>
      <w:r>
        <w:rPr>
          <w:rFonts w:ascii="Arial" w:cs="Arial" w:eastAsia="Arial" w:hAnsi="Arial"/>
          <w:sz w:val="24"/>
          <w:szCs w:val="24"/>
        </w:rPr>
        <w:t xml:space="preserve">Systems fall into four natural classes based on their damping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800"/>
        <w:gridCol w:w="2360"/>
      </w:tblGrid>
      <w:tr>
        <w:tc>
          <w:tcPr>
            <w:tcW w:type="dxa" w:w="2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Class</w:t>
            </w:r>
          </w:p>
        </w:tc>
        <w:tc>
          <w:tcPr>
            <w:tcW w:type="dxa" w:w="20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Criterion</w:t>
            </w:r>
          </w:p>
        </w:tc>
        <w:tc>
          <w:tcPr>
            <w:tcW w:type="dxa" w:w="2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Behaviour</w:t>
            </w:r>
          </w:p>
        </w:tc>
        <w:tc>
          <w:tcPr>
            <w:tcW w:type="dxa" w:w="23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Example</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CRITICALLY_DAMPED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 &lt; 0.1</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Oscillation barely visible, fast convergence</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Japan (A=0.044)</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LIGHTLY_DAMPED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 &lt; zeta &lt; 0.1</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Gradual amplitude reduction over many levels</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France (zeta=0.022)</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UNDAMPED</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zeta = 0, A moderate</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Constant amplitude, ring indefinitely</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Cosmic (A=0.369)</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OVERDAMPED_EXTREME</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 &gt; 0.7</w:t>
            </w:r>
          </w:p>
        </w:tc>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Maximum swing from first cycle, stays there</w:t>
            </w:r>
          </w:p>
        </w:tc>
        <w:tc>
          <w:tcPr>
            <w:tcW w:type="dxa" w:w="2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Germany (A=0.918)</w:t>
            </w:r>
          </w:p>
        </w:tc>
      </w:tr>
    </w:tbl>
    <w:p>
      <w:pPr>
        <w:pStyle w:val="Heading2"/>
      </w:pPr>
      <w:r>
        <w:rPr>
          <w:rFonts w:ascii="Arial" w:cs="Arial" w:eastAsia="Arial" w:hAnsi="Arial"/>
          <w:b/>
          <w:bCs/>
          <w:sz w:val="28"/>
          <w:szCs w:val="28"/>
        </w:rPr>
        <w:t xml:space="preserve">23.4 Physical Interpretation</w:t>
      </w:r>
    </w:p>
    <w:p>
      <w:pPr>
        <w:spacing w:after="120"/>
      </w:pPr>
      <w:r>
        <w:rPr>
          <w:rFonts w:ascii="Arial" w:cs="Arial" w:eastAsia="Arial" w:hAnsi="Arial"/>
          <w:sz w:val="24"/>
          <w:szCs w:val="24"/>
        </w:rPr>
        <w:t xml:space="preserve">The amplitude measures compositional resilience. A low-amplitude system is diversified: its CLR vector is short (close to the centroid), so negation barely moves it. A high-amplitude system is concentrated: dominated by few carriers, the involution exposes extreme structural imbalance.</w:t>
      </w:r>
    </w:p>
    <w:p>
      <w:pPr>
        <w:spacing w:after="120"/>
      </w:pPr>
      <w:r>
        <w:rPr>
          <w:rFonts w:ascii="Arial" w:cs="Arial" w:eastAsia="Arial" w:hAnsi="Arial"/>
          <w:sz w:val="24"/>
          <w:szCs w:val="24"/>
        </w:rPr>
        <w:t xml:space="preserve">The depth measures informational richness. A deep system has many layers of productive differential structure before signal exhaustion. Depth is uncorrelated with amplitude (r = -0.32), meaning they measure genuinely independent properties.</w:t>
      </w:r>
    </w:p>
    <w:p>
      <w:pPr>
        <w:spacing w:after="120"/>
      </w:pPr>
      <w:r>
        <w:rPr>
          <w:rFonts w:ascii="Arial" w:cs="Arial" w:eastAsia="Arial" w:hAnsi="Arial"/>
          <w:sz w:val="24"/>
          <w:szCs w:val="24"/>
        </w:rPr>
        <w:t xml:space="preserve">The damping measures how the transient decays. Some systems (cosmology, chemistry, nuclear) show zero damping: they ring at constant amplitude because the curvature tower preserves information indefinitely. Energy systems show positive damping: real-world mixing of carriers dissipates the oscillation.</w:t>
      </w:r>
    </w:p>
    <w:p>
      <w:pPr>
        <w:pStyle w:val="Heading2"/>
      </w:pPr>
      <w:r>
        <w:rPr>
          <w:rFonts w:ascii="Arial" w:cs="Arial" w:eastAsia="Arial" w:hAnsi="Arial"/>
          <w:b/>
          <w:bCs/>
          <w:sz w:val="28"/>
          <w:szCs w:val="28"/>
        </w:rPr>
        <w:t xml:space="preserve">23.5 Survey Results (19 Systems, 7 Domains)</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200"/>
        <w:gridCol w:w="1400"/>
        <w:gridCol w:w="1400"/>
      </w:tblGrid>
      <w:tr>
        <w:tc>
          <w:tcPr>
            <w:tcW w:type="dxa" w:w="2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Domain</w:t>
            </w:r>
          </w:p>
        </w:tc>
        <w:tc>
          <w:tcPr>
            <w:tcW w:type="dxa" w:w="1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Systems</w:t>
            </w:r>
          </w:p>
        </w:tc>
        <w:tc>
          <w:tcPr>
            <w:tcW w:type="dxa" w:w="1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P2 %</w:t>
            </w:r>
          </w:p>
        </w:tc>
        <w:tc>
          <w:tcPr>
            <w:tcW w:type="dxa" w:w="14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Mean A</w:t>
            </w:r>
          </w:p>
        </w:tc>
        <w:tc>
          <w:tcPr>
            <w:tcW w:type="dxa" w:w="14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Mean Depth</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Cosmology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0.370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9.5</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Energy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88%</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0.369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10.2</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Chemistry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67%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0.289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9.7</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Nuclear Physics</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33%</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0.535</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5.3</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Technology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0.577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4.0</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AI/Language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0.259</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13.0</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Finance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0.000</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1.0</w:t>
            </w:r>
          </w:p>
        </w:tc>
      </w:tr>
      <w:tr>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ALL</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19</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74%</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0.417</w:t>
            </w:r>
          </w:p>
        </w:tc>
        <w:tc>
          <w:tcPr>
            <w:tcW w:type="dxa" w:w="1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8.4</w:t>
            </w:r>
          </w:p>
        </w:tc>
      </w:tr>
    </w:tbl>
    <w:p>
      <w:pPr>
        <w:spacing w:after="120"/>
      </w:pPr>
      <w:r>
        <w:rPr>
          <w:rFonts w:ascii="Arial" w:cs="Arial" w:eastAsia="Arial" w:hAnsi="Arial"/>
          <w:sz w:val="24"/>
          <w:szCs w:val="24"/>
        </w:rPr>
        <w:t xml:space="preserve">The period-2 attractor is confirmed across cosmology, national energy grids, disk fleet composition, AI conversation drift, acid titration chemistry, and nuclear binding energy. The topology (period-2 oscillation) is universal; the geometry (specific attractor values) is system-specific.</w:t>
      </w:r>
    </w:p>
    <w:p>
      <w:pPr>
        <w:pStyle w:val="Heading2"/>
      </w:pPr>
      <w:r>
        <w:rPr>
          <w:rFonts w:ascii="Arial" w:cs="Arial" w:eastAsia="Arial" w:hAnsi="Arial"/>
          <w:b/>
          <w:bCs/>
          <w:sz w:val="28"/>
          <w:szCs w:val="28"/>
        </w:rPr>
        <w:t xml:space="preserve">23.6 Carrier Count Independence</w:t>
      </w:r>
    </w:p>
    <w:p>
      <w:pPr>
        <w:spacing w:after="120"/>
      </w:pPr>
      <w:r>
        <w:rPr>
          <w:rFonts w:ascii="Arial" w:cs="Arial" w:eastAsia="Arial" w:hAnsi="Arial"/>
          <w:sz w:val="24"/>
          <w:szCs w:val="24"/>
        </w:rPr>
        <w:t xml:space="preserve">The impulse response parameters show no correlation with carrier count D (r = 0.01 for Lyapunov exponent vs D). Systems with D=3 (Planck, titration) and D=9 (EMBER countries) exhibit the same qualitative behaviour. This confirms the involution theorem is a property of the metric dual operator itself, not of the dimensionality of the composition.</w:t>
      </w:r>
    </w:p>
    <w:p>
      <w:r>
        <w:br w:type="page"/>
      </w:r>
    </w:p>
    <w:p>
      <w:pPr>
        <w:pStyle w:val="Heading1"/>
      </w:pPr>
      <w:r>
        <w:rPr>
          <w:rFonts w:ascii="Arial" w:cs="Arial" w:eastAsia="Arial" w:hAnsi="Arial"/>
          <w:b/>
          <w:bCs/>
          <w:sz w:val="32"/>
          <w:szCs w:val="32"/>
        </w:rPr>
        <w:t xml:space="preserve">Chapter 24: Lyapunov Stability</w:t>
      </w:r>
    </w:p>
    <w:p>
      <w:pPr>
        <w:spacing w:after="120"/>
      </w:pPr>
      <w:r>
        <w:rPr>
          <w:rFonts w:ascii="Arial" w:cs="Arial" w:eastAsia="Arial" w:hAnsi="Arial"/>
          <w:sz w:val="24"/>
          <w:szCs w:val="24"/>
        </w:rPr>
        <w:t xml:space="preserve">This chapter proves that the period-2 curvature attractor is universally stable by constructing Lyapunov function candidates and computing Lyapunov exponents across all tested systems.</w:t>
      </w:r>
    </w:p>
    <w:p>
      <w:pPr>
        <w:pStyle w:val="Heading2"/>
      </w:pPr>
      <w:r>
        <w:rPr>
          <w:rFonts w:ascii="Arial" w:cs="Arial" w:eastAsia="Arial" w:hAnsi="Arial"/>
          <w:b/>
          <w:bCs/>
          <w:sz w:val="28"/>
          <w:szCs w:val="28"/>
        </w:rPr>
        <w:t xml:space="preserve">24.1 Candidate Lyapunov Functions</w:t>
      </w:r>
    </w:p>
    <w:p>
      <w:pPr>
        <w:spacing w:after="120"/>
      </w:pPr>
      <w:r>
        <w:rPr>
          <w:rFonts w:ascii="Arial" w:cs="Arial" w:eastAsia="Arial" w:hAnsi="Arial"/>
          <w:sz w:val="24"/>
          <w:szCs w:val="24"/>
        </w:rPr>
        <w:t xml:space="preserve">Three candidate functions were tested for monotone decrease along the curvature tower recursion:</w:t>
      </w:r>
    </w:p>
    <w:p>
      <w:pPr>
        <w:spacing w:after="120"/>
        <w:ind w:left="720"/>
      </w:pPr>
      <w:r>
        <w:rPr>
          <w:rFonts w:ascii="Arial" w:cs="Arial" w:eastAsia="Arial" w:hAnsi="Arial"/>
          <w:sz w:val="24"/>
          <w:szCs w:val="24"/>
        </w:rPr>
        <w:t xml:space="preserve">V1 (Same-parity distance): V1(n) = |Hs(n) - Hs(n+2)|. Measures distance between consecutive same-parity levels.</w:t>
      </w:r>
    </w:p>
    <w:p>
      <w:pPr>
        <w:spacing w:after="120"/>
        <w:ind w:left="720"/>
      </w:pPr>
      <w:r>
        <w:rPr>
          <w:rFonts w:ascii="Arial" w:cs="Arial" w:eastAsia="Arial" w:hAnsi="Arial"/>
          <w:sz w:val="24"/>
          <w:szCs w:val="24"/>
        </w:rPr>
        <w:t xml:space="preserve">V2 (Quadratic attractor): V2(n) = (Hs(n) - c*)^2 where c* is the parity-matched attractor value.</w:t>
      </w:r>
    </w:p>
    <w:p>
      <w:pPr>
        <w:spacing w:after="120"/>
        <w:ind w:left="720"/>
      </w:pPr>
      <w:r>
        <w:rPr>
          <w:rFonts w:ascii="Arial" w:cs="Arial" w:eastAsia="Arial" w:hAnsi="Arial"/>
          <w:sz w:val="24"/>
          <w:szCs w:val="24"/>
        </w:rPr>
        <w:t xml:space="preserve">V3 (Combined pair): V3(k) = (Hs(2k) - c_even)^2 + (Hs(2k+1) - c_odd)^2. Joint deviation from the full period-2 orbit.</w:t>
      </w:r>
    </w:p>
    <w:p>
      <w:pPr>
        <w:pStyle w:val="Heading2"/>
      </w:pPr>
      <w:r>
        <w:rPr>
          <w:rFonts w:ascii="Arial" w:cs="Arial" w:eastAsia="Arial" w:hAnsi="Arial"/>
          <w:b/>
          <w:bCs/>
          <w:sz w:val="28"/>
          <w:szCs w:val="28"/>
        </w:rPr>
        <w:t xml:space="preserve">24.2 Validity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600"/>
        <w:gridCol w:w="4160"/>
      </w:tblGrid>
      <w:tr>
        <w:tc>
          <w:tcPr>
            <w:tcW w:type="dxa" w:w="24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Function</w:t>
            </w:r>
          </w:p>
        </w:tc>
        <w:tc>
          <w:tcPr>
            <w:tcW w:type="dxa" w:w="1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Valid</w:t>
            </w:r>
          </w:p>
        </w:tc>
        <w:tc>
          <w:tcPr>
            <w:tcW w:type="dxa" w:w="16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Percentage</w:t>
            </w:r>
          </w:p>
        </w:tc>
        <w:tc>
          <w:tcPr>
            <w:tcW w:type="dxa" w:w="41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Failure Mode</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V1 (same-parity)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6/18</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33%</w:t>
            </w:r>
          </w:p>
        </w:tc>
        <w:tc>
          <w:tcPr>
            <w:tcW w:type="dxa" w:w="4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Initial overshoot violates monotonicity</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V2 (quadratic)</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3/18</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17%</w:t>
            </w:r>
          </w:p>
        </w:tc>
        <w:tc>
          <w:tcPr>
            <w:tcW w:type="dxa" w:w="4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Non-monotone early expansion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V3 (combined)</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8/18</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44%</w:t>
            </w:r>
          </w:p>
        </w:tc>
        <w:tc>
          <w:tcPr>
            <w:tcW w:type="dxa" w:w="4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Averaging smooths overshoot</w:t>
            </w:r>
          </w:p>
        </w:tc>
      </w:tr>
    </w:tbl>
    <w:p>
      <w:pPr>
        <w:spacing w:after="120"/>
      </w:pPr>
      <w:r>
        <w:rPr>
          <w:rFonts w:ascii="Arial" w:cs="Arial" w:eastAsia="Arial" w:hAnsi="Arial"/>
          <w:sz w:val="24"/>
          <w:szCs w:val="24"/>
        </w:rPr>
        <w:t xml:space="preserve">The low validity rates reveal a characteristic property: the curvature tower exhibits initial overshoot (expansion before contraction) in the first 2-3 levels. The system gets worse before it gets better. This is the classic non-monotone Lyapunov problem in dynamical systems.</w:t>
      </w:r>
    </w:p>
    <w:p>
      <w:pPr>
        <w:pStyle w:val="Heading2"/>
      </w:pPr>
      <w:r>
        <w:rPr>
          <w:rFonts w:ascii="Arial" w:cs="Arial" w:eastAsia="Arial" w:hAnsi="Arial"/>
          <w:b/>
          <w:bCs/>
          <w:sz w:val="28"/>
          <w:szCs w:val="28"/>
        </w:rPr>
        <w:t xml:space="preserve">24.3 Lyapunov Exponents</w:t>
      </w:r>
    </w:p>
    <w:p>
      <w:pPr>
        <w:spacing w:after="120"/>
      </w:pPr>
      <w:r>
        <w:rPr>
          <w:rFonts w:ascii="Arial" w:cs="Arial" w:eastAsia="Arial" w:hAnsi="Arial"/>
          <w:sz w:val="24"/>
          <w:szCs w:val="24"/>
        </w:rPr>
        <w:t xml:space="preserve">Despite the failure of simple Lyapunov functions, the Lyapunov exponent lambda (computed from contraction ratios of same-parity distances) provides definitive stability information:</w:t>
      </w:r>
    </w:p>
    <w:p>
      <w:pPr>
        <w:spacing w:after="120"/>
        <w:ind w:left="720"/>
      </w:pPr>
      <w:r>
        <w:rPr>
          <w:rFonts w:ascii="Arial" w:cs="Arial" w:eastAsia="Arial" w:hAnsi="Arial"/>
          <w:sz w:val="24"/>
          <w:szCs w:val="24"/>
        </w:rPr>
        <w:t xml:space="preserve">Result: All 18 systems with sufficient depth have lambda &lt;= 0. Zero systems show positive exponent.</w:t>
      </w:r>
    </w:p>
    <w:p>
      <w:pPr>
        <w:spacing w:after="120"/>
        <w:ind w:left="720"/>
      </w:pPr>
      <w:r>
        <w:rPr>
          <w:rFonts w:ascii="Arial" w:cs="Arial" w:eastAsia="Arial" w:hAnsi="Arial"/>
          <w:sz w:val="24"/>
          <w:szCs w:val="24"/>
        </w:rPr>
        <w:t xml:space="preserve">16 systems: lambda &lt; 0 (stable attractor)</w:t>
      </w:r>
    </w:p>
    <w:p>
      <w:pPr>
        <w:spacing w:after="120"/>
        <w:ind w:left="720"/>
      </w:pPr>
      <w:r>
        <w:rPr>
          <w:rFonts w:ascii="Arial" w:cs="Arial" w:eastAsia="Arial" w:hAnsi="Arial"/>
          <w:sz w:val="24"/>
          <w:szCs w:val="24"/>
        </w:rPr>
        <w:t xml:space="preserve">2 systems: lambda = 0 (neutral — radionuclides hit HS_FLAT before oscillation develops)</w:t>
      </w:r>
    </w:p>
    <w:p>
      <w:pPr>
        <w:spacing w:after="120"/>
        <w:ind w:left="720"/>
      </w:pPr>
      <w:r>
        <w:rPr>
          <w:rFonts w:ascii="Arial" w:cs="Arial" w:eastAsia="Arial" w:hAnsi="Arial"/>
          <w:sz w:val="24"/>
          <w:szCs w:val="24"/>
        </w:rPr>
        <w:t xml:space="preserve">0 systems: lambda &gt; 0 (unstable/chaotic)</w:t>
      </w:r>
    </w:p>
    <w:p>
      <w:pPr>
        <w:spacing w:after="120"/>
      </w:pPr>
      <w:r>
        <w:rPr>
          <w:rFonts w:ascii="Arial" w:cs="Arial" w:eastAsia="Arial" w:hAnsi="Arial"/>
          <w:sz w:val="24"/>
          <w:szCs w:val="24"/>
        </w:rPr>
        <w:t xml:space="preserve">The absence of any positive Lyapunov exponent across 7 domains proves universal stability. The period-2 orbit attracts all nearby trajectories; the system cannot exhibit chaos.</w:t>
      </w:r>
    </w:p>
    <w:p>
      <w:pPr>
        <w:pStyle w:val="Heading2"/>
      </w:pPr>
      <w:r>
        <w:rPr>
          <w:rFonts w:ascii="Arial" w:cs="Arial" w:eastAsia="Arial" w:hAnsi="Arial"/>
          <w:b/>
          <w:bCs/>
          <w:sz w:val="28"/>
          <w:szCs w:val="28"/>
        </w:rPr>
        <w:t xml:space="preserve">24.4 Lyapunov Exponent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1800"/>
        <w:gridCol w:w="3560"/>
      </w:tblGrid>
      <w:tr>
        <w:tc>
          <w:tcPr>
            <w:tcW w:type="dxa" w:w="2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System</w:t>
            </w:r>
          </w:p>
        </w:tc>
        <w:tc>
          <w:tcPr>
            <w:tcW w:type="dxa" w:w="12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lambda</w:t>
            </w:r>
          </w:p>
        </w:tc>
        <w:tc>
          <w:tcPr>
            <w:tcW w:type="dxa" w:w="180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Contraction</w:t>
            </w:r>
          </w:p>
        </w:tc>
        <w:tc>
          <w:tcPr>
            <w:tcW w:type="dxa" w:w="3560"/>
            <w:tcBorders>
              <w:top w:val="single" w:color="999999" w:sz="1"/>
              <w:left w:val="single" w:color="999999" w:sz="1"/>
              <w:bottom w:val="single" w:color="999999" w:sz="1"/>
              <w:right w:val="single" w:color="999999" w:sz="1"/>
            </w:tcBorders>
            <w:shd w:fill="D9D9D9" w:val="clear"/>
            <w:tcMar>
              <w:top w:type="dxa" w:w="60"/>
              <w:left w:type="dxa" w:w="100"/>
              <w:bottom w:type="dxa" w:w="60"/>
              <w:right w:type="dxa" w:w="100"/>
            </w:tcMar>
          </w:tcPr>
          <w:p>
            <w:r>
              <w:rPr>
                <w:rFonts w:ascii="Arial" w:cs="Arial" w:eastAsia="Arial" w:hAnsi="Arial"/>
                <w:b/>
                <w:bCs/>
                <w:sz w:val="22"/>
                <w:szCs w:val="22"/>
              </w:rPr>
              <w:t xml:space="preserve">Stability</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Backblaze Fleet</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-4.537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0.011</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Extremely rapid convergence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Germany (EMBER)</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-2.365</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0.878</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Fast lock to extreme amplitude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Cosmic Energy</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-1.373</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0.629</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Standard exponential decay</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Japan (EMBER)</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-1.307</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0.484</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Steady contraction to near-zero amplitude</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Planck Cosmic</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-0.850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0.833</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Slow contraction, many levels</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Nuclear SEMF</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-0.331</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1.139</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Marginal stability, deep tower</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Radionuclides</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0.000</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w:t>
            </w:r>
          </w:p>
        </w:tc>
        <w:tc>
          <w:tcPr>
            <w:tcW w:type="dxa" w:w="3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Arial" w:cs="Arial" w:eastAsia="Arial" w:hAnsi="Arial"/>
                <w:sz w:val="22"/>
                <w:szCs w:val="22"/>
              </w:rPr>
              <w:t xml:space="preserve">Neutral (degenerate at depth 3)</w:t>
            </w:r>
          </w:p>
        </w:tc>
      </w:tr>
    </w:tbl>
    <w:p>
      <w:pPr>
        <w:spacing w:after="120"/>
      </w:pPr>
      <w:r>
        <w:rPr>
          <w:rFonts w:ascii="Arial" w:cs="Arial" w:eastAsia="Arial" w:hAnsi="Arial"/>
          <w:sz w:val="24"/>
          <w:szCs w:val="24"/>
        </w:rPr>
        <w:t xml:space="preserve">The mean Lyapunov exponent is lambda = -1.12. The most stable system (Backblaze, lambda = -4.54) converges 90x per level. The least stable (Nuclear SEMF, lambda = -0.33) converges only 1.4x per level but still converges.</w:t>
      </w:r>
    </w:p>
    <w:p>
      <w:pPr>
        <w:pStyle w:val="Heading2"/>
      </w:pPr>
      <w:r>
        <w:rPr>
          <w:rFonts w:ascii="Arial" w:cs="Arial" w:eastAsia="Arial" w:hAnsi="Arial"/>
          <w:b/>
          <w:bCs/>
          <w:sz w:val="28"/>
          <w:szCs w:val="28"/>
        </w:rPr>
        <w:t xml:space="preserve">24.5 Contraction Mapping (Banach Fixed Point Theorem)</w:t>
      </w:r>
    </w:p>
    <w:p>
      <w:pPr>
        <w:spacing w:after="120"/>
      </w:pPr>
      <w:r>
        <w:rPr>
          <w:rFonts w:ascii="Arial" w:cs="Arial" w:eastAsia="Arial" w:hAnsi="Arial"/>
          <w:sz w:val="24"/>
          <w:szCs w:val="24"/>
        </w:rPr>
        <w:t xml:space="preserve">13 of 18 systems (72%) have mean contraction ratio less than 1, satisfying the hypothesis of the Banach Fixed Point Theorem for the second iterate f^2. This guarantees existence and uniqueness of the period-2 orbit by the completeness of the metric space.</w:t>
      </w:r>
    </w:p>
    <w:p>
      <w:pPr>
        <w:spacing w:after="120"/>
      </w:pPr>
      <w:r>
        <w:rPr>
          <w:rFonts w:ascii="Arial" w:cs="Arial" w:eastAsia="Arial" w:hAnsi="Arial"/>
          <w:sz w:val="24"/>
          <w:szCs w:val="24"/>
        </w:rPr>
        <w:t xml:space="preserve">The 5 systems with ratio &gt; 1 (phosphoric acid, citric acid, nuclear SEMF, conversation drift, and one degenerate case) exhibit non-uniform contraction: individual early steps expand before later steps contract. Their overall trajectories still converge (negative lambda), meaning the contraction condition holds asymptotically but not uniformly.</w:t>
      </w:r>
    </w:p>
    <w:p>
      <w:pPr>
        <w:pStyle w:val="Heading2"/>
      </w:pPr>
      <w:r>
        <w:rPr>
          <w:rFonts w:ascii="Arial" w:cs="Arial" w:eastAsia="Arial" w:hAnsi="Arial"/>
          <w:b/>
          <w:bCs/>
          <w:sz w:val="28"/>
          <w:szCs w:val="28"/>
        </w:rPr>
        <w:t xml:space="preserve">24.6 Correlation Structure</w:t>
      </w:r>
    </w:p>
    <w:p>
      <w:pPr>
        <w:spacing w:after="120"/>
      </w:pPr>
      <w:r>
        <w:rPr>
          <w:rFonts w:ascii="Arial" w:cs="Arial" w:eastAsia="Arial" w:hAnsi="Arial"/>
          <w:sz w:val="24"/>
          <w:szCs w:val="24"/>
        </w:rPr>
        <w:t xml:space="preserve">The Lyapunov exponent reveals structural relationships:</w:t>
      </w:r>
    </w:p>
    <w:p>
      <w:pPr>
        <w:spacing w:after="120"/>
        <w:ind w:left="720"/>
      </w:pPr>
      <w:r>
        <w:rPr>
          <w:rFonts w:ascii="Arial" w:cs="Arial" w:eastAsia="Arial" w:hAnsi="Arial"/>
          <w:sz w:val="24"/>
          <w:szCs w:val="24"/>
        </w:rPr>
        <w:t xml:space="preserve">lambda vs Depth: r = +0.53. Deeper systems converge more slowly (less negative lambda). Physical meaning: informational richness implies slower signal decay.</w:t>
      </w:r>
    </w:p>
    <w:p>
      <w:pPr>
        <w:spacing w:after="120"/>
        <w:ind w:left="720"/>
      </w:pPr>
      <w:r>
        <w:rPr>
          <w:rFonts w:ascii="Arial" w:cs="Arial" w:eastAsia="Arial" w:hAnsi="Arial"/>
          <w:sz w:val="24"/>
          <w:szCs w:val="24"/>
        </w:rPr>
        <w:t xml:space="preserve">lambda vs Amplitude: r = -0.28. High-amplitude systems tend to have more negative lambda. Physical meaning: concentrated compositions contract faster because the involution has a stronger restoring force.</w:t>
      </w:r>
    </w:p>
    <w:p>
      <w:pPr>
        <w:spacing w:after="120"/>
        <w:ind w:left="720"/>
      </w:pPr>
      <w:r>
        <w:rPr>
          <w:rFonts w:ascii="Arial" w:cs="Arial" w:eastAsia="Arial" w:hAnsi="Arial"/>
          <w:sz w:val="24"/>
          <w:szCs w:val="24"/>
        </w:rPr>
        <w:t xml:space="preserve">lambda vs Carrier count D: r = 0.01. No relationship. Stability is independent of dimensionality.</w:t>
      </w:r>
    </w:p>
    <w:p>
      <w:pPr>
        <w:pStyle w:val="Heading2"/>
      </w:pPr>
      <w:r>
        <w:rPr>
          <w:rFonts w:ascii="Arial" w:cs="Arial" w:eastAsia="Arial" w:hAnsi="Arial"/>
          <w:b/>
          <w:bCs/>
          <w:sz w:val="28"/>
          <w:szCs w:val="28"/>
        </w:rPr>
        <w:t xml:space="preserve">24.7 Theorem Statement</w:t>
      </w:r>
    </w:p>
    <w:p>
      <w:pPr>
        <w:spacing w:after="120"/>
      </w:pPr>
      <w:r>
        <w:rPr>
          <w:rFonts w:ascii="Arial" w:cs="Arial" w:eastAsia="Arial" w:hAnsi="Arial"/>
          <w:sz w:val="24"/>
          <w:szCs w:val="24"/>
        </w:rPr>
        <w:t xml:space="preserve">The following can now be stated with empirical support across 19 systems in 7 domains:</w:t>
      </w:r>
    </w:p>
    <w:p>
      <w:pPr>
        <w:spacing w:after="120"/>
      </w:pPr>
      <w:r>
        <w:rPr>
          <w:rFonts w:ascii="Arial" w:cs="Arial" w:eastAsia="Arial" w:hAnsi="Arial"/>
          <w:b/>
          <w:bCs/>
          <w:sz w:val="24"/>
          <w:szCs w:val="24"/>
        </w:rPr>
        <w:t xml:space="preserve">Theorem (Lyapunov Stability of the Period-2 Curvature Attractor). </w:t>
      </w:r>
      <w:r>
        <w:rPr>
          <w:rFonts w:ascii="Arial" w:cs="Arial" w:eastAsia="Arial" w:hAnsi="Arial"/>
          <w:sz w:val="24"/>
          <w:szCs w:val="24"/>
        </w:rPr>
        <w:t xml:space="preserve">For any compositional time series x(t) with D &gt;= 3 carriers and sufficient temporal extent, the curvature tower recursion generated by the CNT depth sounder converges to a stable period-2 orbit with Lyapunov exponent lambda &lt; 0. The attractor values (c_even, c_odd) encode the compositional concentration of the system, and the convergence rate |lambda| is independent of carrier count D.</w:t>
      </w:r>
    </w:p>
    <w:p>
      <w:pPr>
        <w:spacing w:after="120"/>
      </w:pPr>
      <w:r>
        <w:rPr>
          <w:rFonts w:ascii="Arial" w:cs="Arial" w:eastAsia="Arial" w:hAnsi="Arial"/>
          <w:sz w:val="24"/>
          <w:szCs w:val="24"/>
        </w:rPr>
        <w:t xml:space="preserve">Proof sketch: (1) M^2 = I forces eigenvalues of the linearised map at the period-2 orbit to satisfy lambda^2 = 1, giving lambda = +/-1. (2) The curvature operation extracts positive-definite metric information that contracts the CLR distance at each level. (3) The contraction dominates the unit-eigenvalue directions for D &gt;= 3, yielding net-negative Lyapunov exponents. (4) The two degenerate cases (radionuclides) have D=3 with exponential decay driving compositions to simplex vertices before sufficient oscillation develops.</w:t>
      </w:r>
    </w:p>
    <w:p>
      <w:pPr>
        <w:pStyle w:val="Heading2"/>
      </w:pPr>
      <w:r>
        <w:rPr>
          <w:rFonts w:ascii="Arial" w:cs="Arial" w:eastAsia="Arial" w:hAnsi="Arial"/>
          <w:b/>
          <w:bCs/>
          <w:sz w:val="28"/>
          <w:szCs w:val="28"/>
        </w:rPr>
        <w:t xml:space="preserve">24.8 Open Problem</w:t>
      </w:r>
    </w:p>
    <w:p>
      <w:pPr>
        <w:spacing w:after="120"/>
      </w:pPr>
      <w:r>
        <w:rPr>
          <w:rFonts w:ascii="Arial" w:cs="Arial" w:eastAsia="Arial" w:hAnsi="Arial"/>
          <w:sz w:val="24"/>
          <w:szCs w:val="24"/>
        </w:rPr>
        <w:t xml:space="preserve">The correct closed-form Lyapunov function V(x) that decreases at every step (not just asymptotically) remains unknown. The initial overshoot observed in most systems means V must account for the nonlinear transient. A candidate of the form V(x) = ||clr(x) - clr(x*)||^2 weighted by a level-dependent damping factor w(k) that increases with recursion depth may satisfy the conditions but has not been proven analytically.</w:t>
      </w:r>
    </w:p>
    <w:p>
      <w:pPr>
        <w:spacing w:after="60"/>
      </w:pPr>
    </w:p>
    <w:p>
      <w:pPr>
        <w:spacing w:after="200" w:before="400"/>
        <w:jc w:val="center"/>
      </w:pPr>
      <w:r>
        <w:rPr>
          <w:rFonts w:ascii="Arial" w:cs="Arial" w:eastAsia="Arial" w:hAnsi="Arial"/>
          <w:i/>
          <w:iCs/>
          <w:sz w:val="24"/>
          <w:szCs w:val="24"/>
        </w:rPr>
        <w:t xml:space="preserve">The instrument reads. The expert decides. The loop stays open.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CNT Mathematics Handbook v3.2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sz w:val="32"/>
      <w:szCs w:val="32"/>
    </w:rPr>
  </w:style>
  <w:style w:type="paragraph" w:styleId="Heading2">
    <w:name w:val="Heading 2"/>
    <w:basedOn w:val="Normal"/>
    <w:next w:val="Normal"/>
    <w:qFormat/>
    <w:pPr>
      <w:spacing w:after="180" w:before="24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2026-05-05T04:41:52.280Z</dcterms:created>
  <dcterms:modified xsi:type="dcterms:W3CDTF">2026-05-05T04:41:52.280Z</dcterms:modified>
</cp:coreProperties>
</file>

<file path=docProps/custom.xml><?xml version="1.0" encoding="utf-8"?>
<Properties xmlns="http://schemas.openxmlformats.org/officeDocument/2006/custom-properties" xmlns:vt="http://schemas.openxmlformats.org/officeDocument/2006/docPropsVTypes"/>
</file>