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E2761"/>
          <w:sz w:val="56"/>
        </w:rPr>
        <w:t>Hˢ Applications Guide</w:t>
      </w:r>
    </w:p>
    <w:p>
      <w:pPr>
        <w:jc w:val="center"/>
      </w:pPr>
      <w:r>
        <w:rPr>
          <w:rFonts w:ascii="Arial" w:hAnsi="Arial"/>
          <w:color w:val="666666"/>
          <w:sz w:val="28"/>
        </w:rPr>
        <w:t>Compositional Intelligence Across Domains</w:t>
      </w:r>
    </w:p>
    <w:p/>
    <w:p>
      <w:pPr>
        <w:jc w:val="center"/>
      </w:pPr>
      <w:r>
        <w:rPr>
          <w:rFonts w:ascii="Arial" w:hAnsi="Arial"/>
          <w:sz w:val="24"/>
        </w:rPr>
        <w:t>Peter Higgins</w:t>
      </w:r>
    </w:p>
    <w:p>
      <w:pPr>
        <w:jc w:val="center"/>
      </w:pPr>
      <w:r>
        <w:rPr>
          <w:rFonts w:ascii="Arial" w:hAnsi="Arial"/>
          <w:color w:val="666666"/>
          <w:sz w:val="24"/>
        </w:rPr>
        <w:t>Markham, Ontario, Canada</w:t>
      </w:r>
    </w:p>
    <w:p>
      <w:pPr>
        <w:jc w:val="center"/>
      </w:pPr>
      <w:r>
        <w:rPr>
          <w:rFonts w:ascii="Arial" w:hAnsi="Arial"/>
          <w:color w:val="666666"/>
          <w:sz w:val="24"/>
        </w:rPr>
        <w:t>April 2026</w:t>
      </w:r>
    </w:p>
    <w:p>
      <w:r>
        <w:br w:type="page"/>
      </w:r>
    </w:p>
    <w:p>
      <w:pPr>
        <w:pStyle w:val="Heading1"/>
      </w:pPr>
      <w:r>
        <w:t>Part I: Deep-Dive Applications</w:t>
      </w:r>
    </w:p>
    <w:p>
      <w:pPr>
        <w:pStyle w:val="Heading2"/>
      </w:pPr>
      <w:r>
        <w:t>1. Space Sensing and Remote Exploration</w:t>
      </w:r>
    </w:p>
    <w:p>
      <w:r>
        <w:rPr>
          <w:b/>
        </w:rPr>
        <w:t xml:space="preserve">The problem: </w:t>
      </w:r>
      <w:r>
        <w:t>A planetary rover carries spectrometers, LIDAR, mass analysers, and imaging systems. Each produces compositional data. The fundamental constraint is bandwidth. Earth-to-Mars communication ranges from 3 to 22 minutes one way, with data rates measured in kilobits per second. Every bit transmitted must carry maximum information. Raw spectral data is voluminous and largely redundant once the compositional character is known.</w:t>
      </w:r>
    </w:p>
    <w:p>
      <w:r>
        <w:rPr>
          <w:b/>
        </w:rPr>
        <w:t xml:space="preserve">Onboard pipeline. </w:t>
      </w:r>
      <w:r>
        <w:t>The 12-step Hˢ pipeline runs on the rover’s compute module. The pipeline is deterministic, requires no GPU, no internet, no external library beyond NumPy. It runs in milliseconds on modest hardware.</w:t>
      </w:r>
    </w:p>
    <w:p>
      <w:r>
        <w:rPr>
          <w:b/>
        </w:rPr>
        <w:t xml:space="preserve">Fingerprint-based compression. </w:t>
      </w:r>
      <w:r>
        <w:t>Once the pipeline completes, hs_fingerprint.py produces a fixed-length identity vector — a 7-dimensional numeric signature plus a SHA-256 hash. This fingerprint replaces the full N×D matrix for transmission. When the fingerprint matches the previous reading (distance below threshold), the rover transmits only a confirmation code: “same regime.” When the fingerprint changes, the rover transmits the new fingerprint plus the diagnostic codes that changed. A full fingerprint plus code set fits in approximately 200 bytes.</w:t>
      </w:r>
    </w:p>
    <w:p>
      <w:r>
        <w:rPr>
          <w:b/>
        </w:rPr>
        <w:t xml:space="preserve">Power-directed sampling. </w:t>
      </w:r>
      <w:r>
        <w:t>The Component Power Mapper runs periodically on the accumulated buffer. It identifies which carrier has the highest leverage index and smallest criticality margin. The rover’s sampling strategy adapts: allocate more spectral integration time and higher bit depth to high-power carriers. Subsample low-power carriers. This is resolution allocation based on compositional importance.</w:t>
      </w:r>
    </w:p>
    <w:p>
      <w:r>
        <w:rPr>
          <w:b/>
        </w:rPr>
        <w:t xml:space="preserve">Phase boundary alerting. </w:t>
      </w:r>
      <w:r>
        <w:t>The phase boundary map provides advance warning of regime transitions. When a carrier’s value approaches its phase boundary, the rover autonomously increases sampling rate, switches to higher-resolution mode, or flags the region for investigation.</w:t>
      </w:r>
    </w:p>
    <w:tbl>
      <w:tblPr>
        <w:tblStyle w:val="TableGrid"/>
        <w:tblW w:type="auto" w:w="0"/>
        <w:jc w:val="center"/>
        <w:tblLook w:firstColumn="1" w:firstRow="1" w:lastColumn="0" w:lastRow="0" w:noHBand="0" w:noVBand="1" w:val="04A0"/>
      </w:tblPr>
      <w:tblGrid>
        <w:gridCol w:w="4320"/>
        <w:gridCol w:w="4320"/>
      </w:tblGrid>
      <w:tr>
        <w:tc>
          <w:tcPr>
            <w:tcW w:type="dxa" w:w="3600"/>
            <w:shd w:fill="1E2761" w:val="clear" w:color="auto"/>
          </w:tcPr>
          <w:p>
            <w:r/>
            <w:r>
              <w:rPr>
                <w:rFonts w:ascii="Arial" w:hAnsi="Arial"/>
                <w:b/>
                <w:color w:val="FFFFFF"/>
                <w:sz w:val="20"/>
              </w:rPr>
              <w:t>Hˢ Component</w:t>
            </w:r>
          </w:p>
        </w:tc>
        <w:tc>
          <w:tcPr>
            <w:tcW w:type="dxa" w:w="5760"/>
            <w:shd w:fill="1E2761" w:val="clear" w:color="auto"/>
          </w:tcPr>
          <w:p>
            <w:r/>
            <w:r>
              <w:rPr>
                <w:rFonts w:ascii="Arial" w:hAnsi="Arial"/>
                <w:b/>
                <w:color w:val="FFFFFF"/>
                <w:sz w:val="20"/>
              </w:rPr>
              <w:t>Rover Function</w:t>
            </w:r>
          </w:p>
        </w:tc>
      </w:tr>
      <w:tr>
        <w:tc>
          <w:tcPr>
            <w:tcW w:type="dxa" w:w="3600"/>
          </w:tcPr>
          <w:p>
            <w:r/>
            <w:r>
              <w:rPr>
                <w:rFonts w:ascii="Arial" w:hAnsi="Arial"/>
                <w:sz w:val="20"/>
              </w:rPr>
              <w:t>Core Pipeline</w:t>
            </w:r>
          </w:p>
        </w:tc>
        <w:tc>
          <w:tcPr>
            <w:tcW w:type="dxa" w:w="5760"/>
          </w:tcPr>
          <w:p>
            <w:r/>
            <w:r>
              <w:rPr>
                <w:rFonts w:ascii="Arial" w:hAnsi="Arial"/>
                <w:sz w:val="20"/>
              </w:rPr>
              <w:t>Onboard compositional analysis engine</w:t>
            </w:r>
          </w:p>
        </w:tc>
      </w:tr>
      <w:tr>
        <w:tc>
          <w:tcPr>
            <w:tcW w:type="dxa" w:w="3600"/>
            <w:shd w:fill="F0F4F8" w:val="clear" w:color="auto"/>
          </w:tcPr>
          <w:p>
            <w:r/>
            <w:r>
              <w:rPr>
                <w:rFonts w:ascii="Arial" w:hAnsi="Arial"/>
                <w:sz w:val="20"/>
              </w:rPr>
              <w:t>hs_fingerprint.py</w:t>
            </w:r>
          </w:p>
        </w:tc>
        <w:tc>
          <w:tcPr>
            <w:tcW w:type="dxa" w:w="5760"/>
            <w:shd w:fill="F0F4F8" w:val="clear" w:color="auto"/>
          </w:tcPr>
          <w:p>
            <w:r/>
            <w:r>
              <w:rPr>
                <w:rFonts w:ascii="Arial" w:hAnsi="Arial"/>
                <w:sz w:val="20"/>
              </w:rPr>
              <w:t>Transmission compression — fingerprint replaces raw data</w:t>
            </w:r>
          </w:p>
        </w:tc>
      </w:tr>
      <w:tr>
        <w:tc>
          <w:tcPr>
            <w:tcW w:type="dxa" w:w="3600"/>
          </w:tcPr>
          <w:p>
            <w:r/>
            <w:r>
              <w:rPr>
                <w:rFonts w:ascii="Arial" w:hAnsi="Arial"/>
                <w:sz w:val="20"/>
              </w:rPr>
              <w:t>hs_sensitivity.py</w:t>
            </w:r>
          </w:p>
        </w:tc>
        <w:tc>
          <w:tcPr>
            <w:tcW w:type="dxa" w:w="5760"/>
          </w:tcPr>
          <w:p>
            <w:r/>
            <w:r>
              <w:rPr>
                <w:rFonts w:ascii="Arial" w:hAnsi="Arial"/>
                <w:sz w:val="20"/>
              </w:rPr>
              <w:t>Adaptive sampling controller — bit allocation by carrier power</w:t>
            </w:r>
          </w:p>
        </w:tc>
      </w:tr>
      <w:tr>
        <w:tc>
          <w:tcPr>
            <w:tcW w:type="dxa" w:w="3600"/>
            <w:shd w:fill="F0F4F8" w:val="clear" w:color="auto"/>
          </w:tcPr>
          <w:p>
            <w:r/>
            <w:r>
              <w:rPr>
                <w:rFonts w:ascii="Arial" w:hAnsi="Arial"/>
                <w:sz w:val="20"/>
              </w:rPr>
              <w:t>hs_codes.py</w:t>
            </w:r>
          </w:p>
        </w:tc>
        <w:tc>
          <w:tcPr>
            <w:tcW w:type="dxa" w:w="5760"/>
            <w:shd w:fill="F0F4F8" w:val="clear" w:color="auto"/>
          </w:tcPr>
          <w:p>
            <w:r/>
            <w:r>
              <w:rPr>
                <w:rFonts w:ascii="Arial" w:hAnsi="Arial"/>
                <w:sz w:val="20"/>
              </w:rPr>
              <w:t>Event-driven telemetry — transmit codes, not measurements</w:t>
            </w:r>
          </w:p>
        </w:tc>
      </w:tr>
      <w:tr>
        <w:tc>
          <w:tcPr>
            <w:tcW w:type="dxa" w:w="3600"/>
          </w:tcPr>
          <w:p>
            <w:r/>
            <w:r>
              <w:rPr>
                <w:rFonts w:ascii="Arial" w:hAnsi="Arial"/>
                <w:sz w:val="20"/>
              </w:rPr>
              <w:t>HsController</w:t>
            </w:r>
          </w:p>
        </w:tc>
        <w:tc>
          <w:tcPr>
            <w:tcW w:type="dxa" w:w="5760"/>
          </w:tcPr>
          <w:p>
            <w:r/>
            <w:r>
              <w:rPr>
                <w:rFonts w:ascii="Arial" w:hAnsi="Arial"/>
                <w:sz w:val="20"/>
              </w:rPr>
              <w:t>Per-instrument pipeline manager with state machine</w:t>
            </w:r>
          </w:p>
        </w:tc>
      </w:tr>
      <w:tr>
        <w:tc>
          <w:tcPr>
            <w:tcW w:type="dxa" w:w="3600"/>
            <w:shd w:fill="F0F4F8" w:val="clear" w:color="auto"/>
          </w:tcPr>
          <w:p>
            <w:r/>
            <w:r>
              <w:rPr>
                <w:rFonts w:ascii="Arial" w:hAnsi="Arial"/>
                <w:sz w:val="20"/>
              </w:rPr>
              <w:t>HUF-GOV</w:t>
            </w:r>
          </w:p>
        </w:tc>
        <w:tc>
          <w:tcPr>
            <w:tcW w:type="dxa" w:w="5760"/>
            <w:shd w:fill="F0F4F8" w:val="clear" w:color="auto"/>
          </w:tcPr>
          <w:p>
            <w:r/>
            <w:r>
              <w:rPr>
                <w:rFonts w:ascii="Arial" w:hAnsi="Arial"/>
                <w:sz w:val="20"/>
              </w:rPr>
              <w:t>Multi-instrument supervisor — cross-sensor correlation</w:t>
            </w:r>
          </w:p>
        </w:tc>
      </w:tr>
      <w:tr>
        <w:tc>
          <w:tcPr>
            <w:tcW w:type="dxa" w:w="3600"/>
          </w:tcPr>
          <w:p>
            <w:r/>
            <w:r>
              <w:rPr>
                <w:rFonts w:ascii="Arial" w:hAnsi="Arial"/>
                <w:sz w:val="20"/>
              </w:rPr>
              <w:t>Phase boundary map</w:t>
            </w:r>
          </w:p>
        </w:tc>
        <w:tc>
          <w:tcPr>
            <w:tcW w:type="dxa" w:w="5760"/>
          </w:tcPr>
          <w:p>
            <w:r/>
            <w:r>
              <w:rPr>
                <w:rFonts w:ascii="Arial" w:hAnsi="Arial"/>
                <w:sz w:val="20"/>
              </w:rPr>
              <w:t>Autonomous investigation trigger</w:t>
            </w:r>
          </w:p>
        </w:tc>
      </w:tr>
    </w:tbl>
    <w:p/>
    <w:p>
      <w:r>
        <w:rPr>
          <w:b/>
        </w:rPr>
        <w:t xml:space="preserve">Compression estimate: </w:t>
      </w:r>
      <w:r>
        <w:t>For a 5-carrier mineral spectrometer at 1 Hz with 100 observations per buffer: raw data is 4 KB per buffer. Hˢ fingerprint + codes = ~200 bytes in steady state. Compression ratio: 20:1 minimum. Effective average: 10:1 to 50:1.</w:t>
      </w:r>
    </w:p>
    <w:p>
      <w:pPr>
        <w:pStyle w:val="Heading2"/>
      </w:pPr>
      <w:r>
        <w:t>2. Financial Markets — Real-Time Portfolio Composition</w:t>
      </w:r>
    </w:p>
    <w:p>
      <w:r>
        <w:rPr>
          <w:b/>
        </w:rPr>
        <w:t xml:space="preserve">The problem: </w:t>
      </w:r>
      <w:r>
        <w:t>A portfolio of D assets produces a compositional vector at every market tick. Risk managers need to know not just what the composition is, but which component has disproportionate power over portfolio character. A position that is 2% of portfolio value but drives 40% of the geometric identity is the critical employee.</w:t>
      </w:r>
    </w:p>
    <w:p>
      <w:r>
        <w:rPr>
          <w:b/>
        </w:rPr>
        <w:t xml:space="preserve">Streaming pipeline. </w:t>
      </w:r>
      <w:r>
        <w:t>Each tick produces a new observation. The HsController operates on a sliding window. The HVLD shape tells whether portfolio variance is accelerating (bowl — risk integrating) or decelerating (hill — risk segregating).</w:t>
      </w:r>
    </w:p>
    <w:p>
      <w:r>
        <w:rPr>
          <w:b/>
        </w:rPr>
        <w:t xml:space="preserve">Power map as risk decomposition. </w:t>
      </w:r>
      <w:r>
        <w:t>The Component Power Mapper replaces traditional risk attribution. It decomposes by influence on portfolio character, not by position size. A small illiquid position with high transfer entropy has a power-to-fraction ratio far exceeding 1.0. This is hidden risk.</w:t>
      </w:r>
    </w:p>
    <w:p>
      <w:r>
        <w:rPr>
          <w:b/>
        </w:rPr>
        <w:t xml:space="preserve">Phase boundaries as stress limits. </w:t>
      </w:r>
      <w:r>
        <w:t>The phase boundary map defines deterministic limits: how far can Position X decline before the portfolio classification flips from NATURAL to FLAG. Geometric, not probabilistic.</w:t>
      </w:r>
    </w:p>
    <w:tbl>
      <w:tblPr>
        <w:tblStyle w:val="TableGrid"/>
        <w:tblW w:type="auto" w:w="0"/>
        <w:jc w:val="center"/>
        <w:tblLook w:firstColumn="1" w:firstRow="1" w:lastColumn="0" w:lastRow="0" w:noHBand="0" w:noVBand="1" w:val="04A0"/>
      </w:tblPr>
      <w:tblGrid>
        <w:gridCol w:w="4320"/>
        <w:gridCol w:w="4320"/>
      </w:tblGrid>
      <w:tr>
        <w:tc>
          <w:tcPr>
            <w:tcW w:type="dxa" w:w="3600"/>
            <w:shd w:fill="1E2761" w:val="clear" w:color="auto"/>
          </w:tcPr>
          <w:p>
            <w:r/>
            <w:r>
              <w:rPr>
                <w:rFonts w:ascii="Arial" w:hAnsi="Arial"/>
                <w:b/>
                <w:color w:val="FFFFFF"/>
                <w:sz w:val="20"/>
              </w:rPr>
              <w:t>Hˢ Component</w:t>
            </w:r>
          </w:p>
        </w:tc>
        <w:tc>
          <w:tcPr>
            <w:tcW w:type="dxa" w:w="5760"/>
            <w:shd w:fill="1E2761" w:val="clear" w:color="auto"/>
          </w:tcPr>
          <w:p>
            <w:r/>
            <w:r>
              <w:rPr>
                <w:rFonts w:ascii="Arial" w:hAnsi="Arial"/>
                <w:b/>
                <w:color w:val="FFFFFF"/>
                <w:sz w:val="20"/>
              </w:rPr>
              <w:t>Financial Function</w:t>
            </w:r>
          </w:p>
        </w:tc>
      </w:tr>
      <w:tr>
        <w:tc>
          <w:tcPr>
            <w:tcW w:type="dxa" w:w="3600"/>
          </w:tcPr>
          <w:p>
            <w:r/>
            <w:r>
              <w:rPr>
                <w:rFonts w:ascii="Arial" w:hAnsi="Arial"/>
                <w:sz w:val="20"/>
              </w:rPr>
              <w:t>Sliding window pipeline</w:t>
            </w:r>
          </w:p>
        </w:tc>
        <w:tc>
          <w:tcPr>
            <w:tcW w:type="dxa" w:w="5760"/>
          </w:tcPr>
          <w:p>
            <w:r/>
            <w:r>
              <w:rPr>
                <w:rFonts w:ascii="Arial" w:hAnsi="Arial"/>
                <w:sz w:val="20"/>
              </w:rPr>
              <w:t>Real-time portfolio composition monitor</w:t>
            </w:r>
          </w:p>
        </w:tc>
      </w:tr>
      <w:tr>
        <w:tc>
          <w:tcPr>
            <w:tcW w:type="dxa" w:w="3600"/>
            <w:shd w:fill="F0F4F8" w:val="clear" w:color="auto"/>
          </w:tcPr>
          <w:p>
            <w:r/>
            <w:r>
              <w:rPr>
                <w:rFonts w:ascii="Arial" w:hAnsi="Arial"/>
                <w:sz w:val="20"/>
              </w:rPr>
              <w:t>Power mapper</w:t>
            </w:r>
          </w:p>
        </w:tc>
        <w:tc>
          <w:tcPr>
            <w:tcW w:type="dxa" w:w="5760"/>
            <w:shd w:fill="F0F4F8" w:val="clear" w:color="auto"/>
          </w:tcPr>
          <w:p>
            <w:r/>
            <w:r>
              <w:rPr>
                <w:rFonts w:ascii="Arial" w:hAnsi="Arial"/>
                <w:sz w:val="20"/>
              </w:rPr>
              <w:t>Risk attribution by influence, not size</w:t>
            </w:r>
          </w:p>
        </w:tc>
      </w:tr>
      <w:tr>
        <w:tc>
          <w:tcPr>
            <w:tcW w:type="dxa" w:w="3600"/>
          </w:tcPr>
          <w:p>
            <w:r/>
            <w:r>
              <w:rPr>
                <w:rFonts w:ascii="Arial" w:hAnsi="Arial"/>
                <w:sz w:val="20"/>
              </w:rPr>
              <w:t>Phase boundary map</w:t>
            </w:r>
          </w:p>
        </w:tc>
        <w:tc>
          <w:tcPr>
            <w:tcW w:type="dxa" w:w="5760"/>
          </w:tcPr>
          <w:p>
            <w:r/>
            <w:r>
              <w:rPr>
                <w:rFonts w:ascii="Arial" w:hAnsi="Arial"/>
                <w:sz w:val="20"/>
              </w:rPr>
              <w:t>Stress limit per position — deterministic</w:t>
            </w:r>
          </w:p>
        </w:tc>
      </w:tr>
      <w:tr>
        <w:tc>
          <w:tcPr>
            <w:tcW w:type="dxa" w:w="3600"/>
            <w:shd w:fill="F0F4F8" w:val="clear" w:color="auto"/>
          </w:tcPr>
          <w:p>
            <w:r/>
            <w:r>
              <w:rPr>
                <w:rFonts w:ascii="Arial" w:hAnsi="Arial"/>
                <w:sz w:val="20"/>
              </w:rPr>
              <w:t>Transfer entropy</w:t>
            </w:r>
          </w:p>
        </w:tc>
        <w:tc>
          <w:tcPr>
            <w:tcW w:type="dxa" w:w="5760"/>
            <w:shd w:fill="F0F4F8" w:val="clear" w:color="auto"/>
          </w:tcPr>
          <w:p>
            <w:r/>
            <w:r>
              <w:rPr>
                <w:rFonts w:ascii="Arial" w:hAnsi="Arial"/>
                <w:sz w:val="20"/>
              </w:rPr>
              <w:t>Directed information flow — which position predicts which</w:t>
            </w:r>
          </w:p>
        </w:tc>
      </w:tr>
      <w:tr>
        <w:tc>
          <w:tcPr>
            <w:tcW w:type="dxa" w:w="3600"/>
          </w:tcPr>
          <w:p>
            <w:r/>
            <w:r>
              <w:rPr>
                <w:rFonts w:ascii="Arial" w:hAnsi="Arial"/>
                <w:sz w:val="20"/>
              </w:rPr>
              <w:t>Fingerprint database</w:t>
            </w:r>
          </w:p>
        </w:tc>
        <w:tc>
          <w:tcPr>
            <w:tcW w:type="dxa" w:w="5760"/>
          </w:tcPr>
          <w:p>
            <w:r/>
            <w:r>
              <w:rPr>
                <w:rFonts w:ascii="Arial" w:hAnsi="Arial"/>
                <w:sz w:val="20"/>
              </w:rPr>
              <w:t>Historical regime catalog</w:t>
            </w:r>
          </w:p>
        </w:tc>
      </w:tr>
      <w:tr>
        <w:tc>
          <w:tcPr>
            <w:tcW w:type="dxa" w:w="3600"/>
            <w:shd w:fill="F0F4F8" w:val="clear" w:color="auto"/>
          </w:tcPr>
          <w:p>
            <w:r/>
            <w:r>
              <w:rPr>
                <w:rFonts w:ascii="Arial" w:hAnsi="Arial"/>
                <w:sz w:val="20"/>
              </w:rPr>
              <w:t>Audit trail</w:t>
            </w:r>
          </w:p>
        </w:tc>
        <w:tc>
          <w:tcPr>
            <w:tcW w:type="dxa" w:w="5760"/>
            <w:shd w:fill="F0F4F8" w:val="clear" w:color="auto"/>
          </w:tcPr>
          <w:p>
            <w:r/>
            <w:r>
              <w:rPr>
                <w:rFonts w:ascii="Arial" w:hAnsi="Arial"/>
                <w:sz w:val="20"/>
              </w:rPr>
              <w:t>Regulatory audit: every decision traced with chain hash</w:t>
            </w:r>
          </w:p>
        </w:tc>
      </w:tr>
    </w:tbl>
    <w:p/>
    <w:p>
      <w:pPr>
        <w:pStyle w:val="Heading2"/>
      </w:pPr>
      <w:r>
        <w:t>3. Nuclear Reactor Monitoring</w:t>
      </w:r>
    </w:p>
    <w:p>
      <w:r>
        <w:rPr>
          <w:b/>
        </w:rPr>
        <w:t xml:space="preserve">The problem: </w:t>
      </w:r>
      <w:r>
        <w:t>A nuclear reactor core contains an array of fuel assemblies with measurable neutron flux, temperature, and isotopic composition. Small compositional shifts can move the reactor between operating regimes. Operators need to know which component has disproportionate influence on reactor character and how far the current state is from a regime boundary.</w:t>
      </w:r>
    </w:p>
    <w:p>
      <w:r>
        <w:rPr>
          <w:b/>
        </w:rPr>
        <w:t xml:space="preserve">Power map for safety-critical carriers. </w:t>
      </w:r>
      <w:r>
        <w:t>In validated SEMF decomposition, the Symmetry+Pairing term (8.2% of total binding energy) was ranked #1 in power with a 4.68x power-to-fraction ratio. Applied to reactor flux composition, the power map identifies which assembly needs closest monitoring.</w:t>
      </w:r>
    </w:p>
    <w:p>
      <w:r>
        <w:rPr>
          <w:b/>
        </w:rPr>
        <w:t xml:space="preserve">Phase boundary as operational envelope. </w:t>
      </w:r>
      <w:r>
        <w:t>The phase boundary map defines how much each assembly’s flux contribution can change before the core transitions to a different regime.</w:t>
      </w:r>
    </w:p>
    <w:p>
      <w:r>
        <w:rPr>
          <w:b/>
        </w:rPr>
        <w:t xml:space="preserve">Continuous monitoring. </w:t>
      </w:r>
      <w:r>
        <w:t>HsController runs continuously on streaming flux data. HUF-GOV manages multiple analysis streams (flux, temperature, isotopic) and detects cross-stream correlations. The audit trail provides full chain-of-custody compatible with nuclear regulatory requirements.</w:t>
      </w:r>
    </w:p>
    <w:tbl>
      <w:tblPr>
        <w:tblStyle w:val="TableGrid"/>
        <w:tblW w:type="auto" w:w="0"/>
        <w:jc w:val="center"/>
        <w:tblLook w:firstColumn="1" w:firstRow="1" w:lastColumn="0" w:lastRow="0" w:noHBand="0" w:noVBand="1" w:val="04A0"/>
      </w:tblPr>
      <w:tblGrid>
        <w:gridCol w:w="4320"/>
        <w:gridCol w:w="4320"/>
      </w:tblGrid>
      <w:tr>
        <w:tc>
          <w:tcPr>
            <w:tcW w:type="dxa" w:w="3600"/>
            <w:shd w:fill="1E2761" w:val="clear" w:color="auto"/>
          </w:tcPr>
          <w:p>
            <w:r/>
            <w:r>
              <w:rPr>
                <w:rFonts w:ascii="Arial" w:hAnsi="Arial"/>
                <w:b/>
                <w:color w:val="FFFFFF"/>
                <w:sz w:val="20"/>
              </w:rPr>
              <w:t>Hˢ Component</w:t>
            </w:r>
          </w:p>
        </w:tc>
        <w:tc>
          <w:tcPr>
            <w:tcW w:type="dxa" w:w="5760"/>
            <w:shd w:fill="1E2761" w:val="clear" w:color="auto"/>
          </w:tcPr>
          <w:p>
            <w:r/>
            <w:r>
              <w:rPr>
                <w:rFonts w:ascii="Arial" w:hAnsi="Arial"/>
                <w:b/>
                <w:color w:val="FFFFFF"/>
                <w:sz w:val="20"/>
              </w:rPr>
              <w:t>Reactor Function</w:t>
            </w:r>
          </w:p>
        </w:tc>
      </w:tr>
      <w:tr>
        <w:tc>
          <w:tcPr>
            <w:tcW w:type="dxa" w:w="3600"/>
          </w:tcPr>
          <w:p>
            <w:r/>
            <w:r>
              <w:rPr>
                <w:rFonts w:ascii="Arial" w:hAnsi="Arial"/>
                <w:sz w:val="20"/>
              </w:rPr>
              <w:t>Pipeline on flux composition</w:t>
            </w:r>
          </w:p>
        </w:tc>
        <w:tc>
          <w:tcPr>
            <w:tcW w:type="dxa" w:w="5760"/>
          </w:tcPr>
          <w:p>
            <w:r/>
            <w:r>
              <w:rPr>
                <w:rFonts w:ascii="Arial" w:hAnsi="Arial"/>
                <w:sz w:val="20"/>
              </w:rPr>
              <w:t>Core character monitor</w:t>
            </w:r>
          </w:p>
        </w:tc>
      </w:tr>
      <w:tr>
        <w:tc>
          <w:tcPr>
            <w:tcW w:type="dxa" w:w="3600"/>
            <w:shd w:fill="F0F4F8" w:val="clear" w:color="auto"/>
          </w:tcPr>
          <w:p>
            <w:r/>
            <w:r>
              <w:rPr>
                <w:rFonts w:ascii="Arial" w:hAnsi="Arial"/>
                <w:sz w:val="20"/>
              </w:rPr>
              <w:t>Power mapper</w:t>
            </w:r>
          </w:p>
        </w:tc>
        <w:tc>
          <w:tcPr>
            <w:tcW w:type="dxa" w:w="5760"/>
            <w:shd w:fill="F0F4F8" w:val="clear" w:color="auto"/>
          </w:tcPr>
          <w:p>
            <w:r/>
            <w:r>
              <w:rPr>
                <w:rFonts w:ascii="Arial" w:hAnsi="Arial"/>
                <w:sz w:val="20"/>
              </w:rPr>
              <w:t>Safety-critical assembly identification</w:t>
            </w:r>
          </w:p>
        </w:tc>
      </w:tr>
      <w:tr>
        <w:tc>
          <w:tcPr>
            <w:tcW w:type="dxa" w:w="3600"/>
          </w:tcPr>
          <w:p>
            <w:r/>
            <w:r>
              <w:rPr>
                <w:rFonts w:ascii="Arial" w:hAnsi="Arial"/>
                <w:sz w:val="20"/>
              </w:rPr>
              <w:t>Phase boundary map</w:t>
            </w:r>
          </w:p>
        </w:tc>
        <w:tc>
          <w:tcPr>
            <w:tcW w:type="dxa" w:w="5760"/>
          </w:tcPr>
          <w:p>
            <w:r/>
            <w:r>
              <w:rPr>
                <w:rFonts w:ascii="Arial" w:hAnsi="Arial"/>
                <w:sz w:val="20"/>
              </w:rPr>
              <w:t>Operational envelope per assembly</w:t>
            </w:r>
          </w:p>
        </w:tc>
      </w:tr>
      <w:tr>
        <w:tc>
          <w:tcPr>
            <w:tcW w:type="dxa" w:w="3600"/>
            <w:shd w:fill="F0F4F8" w:val="clear" w:color="auto"/>
          </w:tcPr>
          <w:p>
            <w:r/>
            <w:r>
              <w:rPr>
                <w:rFonts w:ascii="Arial" w:hAnsi="Arial"/>
                <w:sz w:val="20"/>
              </w:rPr>
              <w:t>HUF-GOV</w:t>
            </w:r>
          </w:p>
        </w:tc>
        <w:tc>
          <w:tcPr>
            <w:tcW w:type="dxa" w:w="5760"/>
            <w:shd w:fill="F0F4F8" w:val="clear" w:color="auto"/>
          </w:tcPr>
          <w:p>
            <w:r/>
            <w:r>
              <w:rPr>
                <w:rFonts w:ascii="Arial" w:hAnsi="Arial"/>
                <w:sz w:val="20"/>
              </w:rPr>
              <w:t>Multi-stream supervisor (flux + temp + isotopic)</w:t>
            </w:r>
          </w:p>
        </w:tc>
      </w:tr>
      <w:tr>
        <w:tc>
          <w:tcPr>
            <w:tcW w:type="dxa" w:w="3600"/>
          </w:tcPr>
          <w:p>
            <w:r/>
            <w:r>
              <w:rPr>
                <w:rFonts w:ascii="Arial" w:hAnsi="Arial"/>
                <w:sz w:val="20"/>
              </w:rPr>
              <w:t>Audit trail (SHA-256)</w:t>
            </w:r>
          </w:p>
        </w:tc>
        <w:tc>
          <w:tcPr>
            <w:tcW w:type="dxa" w:w="5760"/>
          </w:tcPr>
          <w:p>
            <w:r/>
            <w:r>
              <w:rPr>
                <w:rFonts w:ascii="Arial" w:hAnsi="Arial"/>
                <w:sz w:val="20"/>
              </w:rPr>
              <w:t>Regulatory-compliant traceability</w:t>
            </w:r>
          </w:p>
        </w:tc>
      </w:tr>
      <w:tr>
        <w:tc>
          <w:tcPr>
            <w:tcW w:type="dxa" w:w="3600"/>
            <w:shd w:fill="F0F4F8" w:val="clear" w:color="auto"/>
          </w:tcPr>
          <w:p>
            <w:r/>
            <w:r>
              <w:rPr>
                <w:rFonts w:ascii="Arial" w:hAnsi="Arial"/>
                <w:sz w:val="20"/>
              </w:rPr>
              <w:t>SM-RTR-DIS</w:t>
            </w:r>
          </w:p>
        </w:tc>
        <w:tc>
          <w:tcPr>
            <w:tcW w:type="dxa" w:w="5760"/>
            <w:shd w:fill="F0F4F8" w:val="clear" w:color="auto"/>
          </w:tcPr>
          <w:p>
            <w:r/>
            <w:r>
              <w:rPr>
                <w:rFonts w:ascii="Arial" w:hAnsi="Arial"/>
                <w:sz w:val="20"/>
              </w:rPr>
              <w:t>Regime transition detection — operator alert</w:t>
            </w:r>
          </w:p>
        </w:tc>
      </w:tr>
    </w:tbl>
    <w:p/>
    <w:p>
      <w:r>
        <w:br w:type="page"/>
      </w:r>
    </w:p>
    <w:p>
      <w:pPr>
        <w:pStyle w:val="Heading1"/>
      </w:pPr>
      <w:r>
        <w:t>Part II: Application Domain Catalog</w:t>
      </w:r>
    </w:p>
    <w:p>
      <w:r>
        <w:t>The following domains are mapped at summary level with compositional structure and primary value proposition.</w:t>
      </w:r>
    </w:p>
    <w:p>
      <w:pPr>
        <w:pStyle w:val="Heading3"/>
      </w:pPr>
      <w:r>
        <w:t>4. Environmental Monitoring</w:t>
      </w:r>
    </w:p>
    <w:p>
      <w:r>
        <w:rPr>
          <w:b/>
        </w:rPr>
        <w:t xml:space="preserve">Structure: </w:t>
      </w:r>
      <w:r>
        <w:t>Air quality (pollutant fractions), water chemistry (dissolved species fractions), soil composition (mineral/organic/contaminant fractions).</w:t>
      </w:r>
    </w:p>
    <w:p>
      <w:r>
        <w:rPr>
          <w:b/>
        </w:rPr>
        <w:t xml:space="preserve">Value: </w:t>
      </w:r>
      <w:r>
        <w:t>Early detection of environmental regime transitions. Compression of sensor network data. Regulatory audit trail.</w:t>
      </w:r>
    </w:p>
    <w:p>
      <w:pPr>
        <w:pStyle w:val="Heading3"/>
      </w:pPr>
      <w:r>
        <w:t>5. Medical Diagnostics</w:t>
      </w:r>
    </w:p>
    <w:p>
      <w:r>
        <w:rPr>
          <w:b/>
        </w:rPr>
        <w:t xml:space="preserve">Structure: </w:t>
      </w:r>
      <w:r>
        <w:t>Blood panel composition (cell type fractions), microbiome composition (species abundances), tissue composition (cell type proportions).</w:t>
      </w:r>
    </w:p>
    <w:p>
      <w:r>
        <w:rPr>
          <w:b/>
        </w:rPr>
        <w:t xml:space="preserve">Value: </w:t>
      </w:r>
      <w:r>
        <w:t>A blood panel fingerprint that changes classification is a geometric signal of compositional disruption. Power map tells the clinician which marker to investigate first.</w:t>
      </w:r>
    </w:p>
    <w:p>
      <w:pPr>
        <w:pStyle w:val="Heading3"/>
      </w:pPr>
      <w:r>
        <w:t>6. Manufacturing Process Control</w:t>
      </w:r>
    </w:p>
    <w:p>
      <w:r>
        <w:rPr>
          <w:b/>
        </w:rPr>
        <w:t xml:space="preserve">Structure: </w:t>
      </w:r>
      <w:r>
        <w:t>Alloy composition, chemical process streams, food production. Validated: bread/yeast (0.9% mass, 33.64x power ratio).</w:t>
      </w:r>
    </w:p>
    <w:p>
      <w:r>
        <w:rPr>
          <w:b/>
        </w:rPr>
        <w:t xml:space="preserve">Value: </w:t>
      </w:r>
      <w:r>
        <w:t>Component with disproportionate power needs tightest control. Power mapping monitors by influence on product character.</w:t>
      </w:r>
    </w:p>
    <w:p>
      <w:pPr>
        <w:pStyle w:val="Heading3"/>
      </w:pPr>
      <w:r>
        <w:t>7. Telecommunications</w:t>
      </w:r>
    </w:p>
    <w:p>
      <w:r>
        <w:rPr>
          <w:b/>
        </w:rPr>
        <w:t xml:space="preserve">Structure: </w:t>
      </w:r>
      <w:r>
        <w:t>Traffic type fractions (video, voice, data, signalling), protocol distribution, QoS class distribution.</w:t>
      </w:r>
    </w:p>
    <w:p>
      <w:r>
        <w:rPr>
          <w:b/>
        </w:rPr>
        <w:t xml:space="preserve">Value: </w:t>
      </w:r>
      <w:r>
        <w:t>Network capacity planning based on compositional character. Detection of anomalous traffic as regime transitions.</w:t>
      </w:r>
    </w:p>
    <w:p>
      <w:pPr>
        <w:pStyle w:val="Heading3"/>
      </w:pPr>
      <w:r>
        <w:t>8. Defence and Multi-Sensor Fusion</w:t>
      </w:r>
    </w:p>
    <w:p>
      <w:r>
        <w:rPr>
          <w:b/>
        </w:rPr>
        <w:t xml:space="preserve">Structure: </w:t>
      </w:r>
      <w:r>
        <w:t>Multi-platform sensor returns (radar, IR, acoustic, EM) as fractions of total signal energy.</w:t>
      </w:r>
    </w:p>
    <w:p>
      <w:r>
        <w:rPr>
          <w:b/>
        </w:rPr>
        <w:t xml:space="preserve">Value: </w:t>
      </w:r>
      <w:r>
        <w:t>Sensor fusion at the compositional level. Platform-independent target identity via fingerprint. Power map directs sensor allocation.</w:t>
      </w:r>
    </w:p>
    <w:p>
      <w:pPr>
        <w:pStyle w:val="Heading3"/>
      </w:pPr>
      <w:r>
        <w:t>9. Energy Grid Composition</w:t>
      </w:r>
    </w:p>
    <w:p>
      <w:r>
        <w:rPr>
          <w:b/>
        </w:rPr>
        <w:t xml:space="preserve">Structure: </w:t>
      </w:r>
      <w:r>
        <w:t>Generation mix (solar, wind, nuclear, gas, hydro), demand composition, storage state.</w:t>
      </w:r>
    </w:p>
    <w:p>
      <w:r>
        <w:rPr>
          <w:b/>
        </w:rPr>
        <w:t xml:space="preserve">Value: </w:t>
      </w:r>
      <w:r>
        <w:t>Grid stability from a compositional perspective. Detection of renewable penetration thresholds that change grid character.</w:t>
      </w:r>
    </w:p>
    <w:p>
      <w:pPr>
        <w:pStyle w:val="Heading3"/>
      </w:pPr>
      <w:r>
        <w:t>10. Geochemistry and Mineral Exploration</w:t>
      </w:r>
    </w:p>
    <w:p>
      <w:r>
        <w:rPr>
          <w:b/>
        </w:rPr>
        <w:t xml:space="preserve">Structure: </w:t>
      </w:r>
      <w:r>
        <w:t>Rock and mineral compositions (oxide fractions, elemental abundances). The original domain of CoDa.</w:t>
      </w:r>
    </w:p>
    <w:p>
      <w:r>
        <w:rPr>
          <w:b/>
        </w:rPr>
        <w:t xml:space="preserve">Value: </w:t>
      </w:r>
      <w:r>
        <w:t>Hˢ extends CoDa from statistical framework to diagnostic instrument. Fingerprint database for lithological classification.</w:t>
      </w:r>
    </w:p>
    <w:p>
      <w:pPr>
        <w:pStyle w:val="Heading3"/>
      </w:pPr>
      <w:r>
        <w:t>11. Pharmaceutical Formulation</w:t>
      </w:r>
    </w:p>
    <w:p>
      <w:r>
        <w:rPr>
          <w:b/>
        </w:rPr>
        <w:t xml:space="preserve">Structure: </w:t>
      </w:r>
      <w:r>
        <w:t>Excipient and active ingredient fractions. Dissolution profiles. Stability testing compositions.</w:t>
      </w:r>
    </w:p>
    <w:p>
      <w:r>
        <w:rPr>
          <w:b/>
        </w:rPr>
        <w:t xml:space="preserve">Value: </w:t>
      </w:r>
      <w:r>
        <w:t>Power-to-fraction ratio identifies critical excipient. Phase boundary defines formulation stability space.</w:t>
      </w:r>
    </w:p>
    <w:p>
      <w:pPr>
        <w:pStyle w:val="Heading3"/>
      </w:pPr>
      <w:r>
        <w:t>12. Climate Science</w:t>
      </w:r>
    </w:p>
    <w:p>
      <w:r>
        <w:rPr>
          <w:b/>
        </w:rPr>
        <w:t xml:space="preserve">Structure: </w:t>
      </w:r>
      <w:r>
        <w:t>Greenhouse gas fractions of total radiative forcing, aerosol composition, ocean heat distribution.</w:t>
      </w:r>
    </w:p>
    <w:p>
      <w:r>
        <w:rPr>
          <w:b/>
        </w:rPr>
        <w:t xml:space="preserve">Value: </w:t>
      </w:r>
      <w:r>
        <w:t>Which forcing agent has highest leverage on climate character. Phase boundary measures distance to tipping points.</w:t>
      </w:r>
    </w:p>
    <w:p>
      <w:pPr>
        <w:pStyle w:val="Heading3"/>
      </w:pPr>
      <w:r>
        <w:t>13. Sports Analytics</w:t>
      </w:r>
    </w:p>
    <w:p>
      <w:r>
        <w:rPr>
          <w:b/>
        </w:rPr>
        <w:t xml:space="preserve">Structure: </w:t>
      </w:r>
      <w:r>
        <w:t>Player contribution fractions, play-type composition, possession distribution.</w:t>
      </w:r>
    </w:p>
    <w:p>
      <w:r>
        <w:rPr>
          <w:b/>
        </w:rPr>
        <w:t xml:space="preserve">Value: </w:t>
      </w:r>
      <w:r>
        <w:t>Player with 5x power-to-fraction ratio is the one the team cannot lose, even with unremarkable box score statistics.</w:t>
      </w:r>
    </w:p>
    <w:p>
      <w:r>
        <w:br w:type="page"/>
      </w:r>
    </w:p>
    <w:p>
      <w:pPr>
        <w:pStyle w:val="Heading1"/>
      </w:pPr>
      <w:r>
        <w:t>Cross-Domain Patterns</w:t>
      </w:r>
    </w:p>
    <w:p>
      <w:r>
        <w:rPr>
          <w:b/>
        </w:rPr>
        <w:t xml:space="preserve">Pattern 1 — Fingerprint compression: </w:t>
      </w:r>
      <w:r>
        <w:t>In any bandwidth-constrained application, the fingerprint replaces raw data for routine transmission.</w:t>
      </w:r>
    </w:p>
    <w:p>
      <w:r>
        <w:rPr>
          <w:b/>
        </w:rPr>
        <w:t xml:space="preserve">Pattern 2 — Power-directed allocation: </w:t>
      </w:r>
      <w:r>
        <w:t>In any resource-constrained application, the power map directs resources to carriers that matter most.</w:t>
      </w:r>
    </w:p>
    <w:p>
      <w:r>
        <w:rPr>
          <w:b/>
        </w:rPr>
        <w:t xml:space="preserve">Pattern 3 — Phase boundary as envelope: </w:t>
      </w:r>
      <w:r>
        <w:t>In any safety-critical application, the phase boundary map defines deterministic limits per component.</w:t>
      </w:r>
    </w:p>
    <w:p>
      <w:r>
        <w:rPr>
          <w:b/>
        </w:rPr>
        <w:t xml:space="preserve">Pattern 4 — Multi-stream governance: </w:t>
      </w:r>
      <w:r>
        <w:t>In any multi-sensor application, HUF-GOV provides supervisory correlation across streams.</w:t>
      </w:r>
    </w:p>
    <w:p>
      <w:r>
        <w:rPr>
          <w:b/>
        </w:rPr>
        <w:t xml:space="preserve">Pattern 5 — Audit trail as compliance: </w:t>
      </w:r>
      <w:r>
        <w:t>In any regulated application, the SHA-256 chain hash provides tamper-evident traceability.</w:t>
      </w:r>
    </w:p>
    <w:p>
      <w:r>
        <w:rPr>
          <w:b/>
        </w:rPr>
        <w:t xml:space="preserve">Pattern 6 — Code stream as event bus: </w:t>
      </w:r>
      <w:r>
        <w:t>In any operational application, the diagnostic code stream replaces verbose dashboards.</w:t>
      </w:r>
    </w:p>
    <w:p>
      <w:pPr>
        <w:pStyle w:val="Heading2"/>
      </w:pPr>
      <w:r>
        <w:t>Entry Points by Domain</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E2761" w:val="clear" w:color="auto"/>
          </w:tcPr>
          <w:p>
            <w:r/>
            <w:r>
              <w:rPr>
                <w:rFonts w:ascii="Arial" w:hAnsi="Arial"/>
                <w:b/>
                <w:color w:val="FFFFFF"/>
                <w:sz w:val="20"/>
              </w:rPr>
              <w:t>Domain</w:t>
            </w:r>
          </w:p>
        </w:tc>
        <w:tc>
          <w:tcPr>
            <w:tcW w:type="dxa" w:w="2592"/>
            <w:shd w:fill="1E2761" w:val="clear" w:color="auto"/>
          </w:tcPr>
          <w:p>
            <w:r/>
            <w:r>
              <w:rPr>
                <w:rFonts w:ascii="Arial" w:hAnsi="Arial"/>
                <w:b/>
                <w:color w:val="FFFFFF"/>
                <w:sz w:val="20"/>
              </w:rPr>
              <w:t>Start With</w:t>
            </w:r>
          </w:p>
        </w:tc>
        <w:tc>
          <w:tcPr>
            <w:tcW w:type="dxa" w:w="2880"/>
            <w:shd w:fill="1E2761" w:val="clear" w:color="auto"/>
          </w:tcPr>
          <w:p>
            <w:r/>
            <w:r>
              <w:rPr>
                <w:rFonts w:ascii="Arial" w:hAnsi="Arial"/>
                <w:b/>
                <w:color w:val="FFFFFF"/>
                <w:sz w:val="20"/>
              </w:rPr>
              <w:t>Key Pipeline Tool</w:t>
            </w:r>
          </w:p>
        </w:tc>
      </w:tr>
      <w:tr>
        <w:tc>
          <w:tcPr>
            <w:tcW w:type="dxa" w:w="2592"/>
          </w:tcPr>
          <w:p>
            <w:r/>
            <w:r>
              <w:rPr>
                <w:rFonts w:ascii="Arial" w:hAnsi="Arial"/>
                <w:sz w:val="20"/>
              </w:rPr>
              <w:t>Space sensing</w:t>
            </w:r>
          </w:p>
        </w:tc>
        <w:tc>
          <w:tcPr>
            <w:tcW w:type="dxa" w:w="2592"/>
          </w:tcPr>
          <w:p>
            <w:r/>
            <w:r>
              <w:rPr>
                <w:rFonts w:ascii="Arial" w:hAnsi="Arial"/>
                <w:sz w:val="20"/>
              </w:rPr>
              <w:t>hs_ingest.py</w:t>
            </w:r>
          </w:p>
        </w:tc>
        <w:tc>
          <w:tcPr>
            <w:tcW w:type="dxa" w:w="2880"/>
          </w:tcPr>
          <w:p>
            <w:r/>
            <w:r>
              <w:rPr>
                <w:rFonts w:ascii="Arial" w:hAnsi="Arial"/>
                <w:sz w:val="20"/>
              </w:rPr>
              <w:t>hs_sensitivity.py</w:t>
            </w:r>
          </w:p>
        </w:tc>
      </w:tr>
      <w:tr>
        <w:tc>
          <w:tcPr>
            <w:tcW w:type="dxa" w:w="2592"/>
            <w:shd w:fill="F0F4F8" w:val="clear" w:color="auto"/>
          </w:tcPr>
          <w:p>
            <w:r/>
            <w:r>
              <w:rPr>
                <w:rFonts w:ascii="Arial" w:hAnsi="Arial"/>
                <w:sz w:val="20"/>
              </w:rPr>
              <w:t>Financial markets</w:t>
            </w:r>
          </w:p>
        </w:tc>
        <w:tc>
          <w:tcPr>
            <w:tcW w:type="dxa" w:w="2592"/>
            <w:shd w:fill="F0F4F8" w:val="clear" w:color="auto"/>
          </w:tcPr>
          <w:p>
            <w:r/>
            <w:r>
              <w:rPr>
                <w:rFonts w:ascii="Arial" w:hAnsi="Arial"/>
                <w:sz w:val="20"/>
              </w:rPr>
              <w:t>Sliding window</w:t>
            </w:r>
          </w:p>
        </w:tc>
        <w:tc>
          <w:tcPr>
            <w:tcW w:type="dxa" w:w="2880"/>
            <w:shd w:fill="F0F4F8" w:val="clear" w:color="auto"/>
          </w:tcPr>
          <w:p>
            <w:r/>
            <w:r>
              <w:rPr>
                <w:rFonts w:ascii="Arial" w:hAnsi="Arial"/>
                <w:sz w:val="20"/>
              </w:rPr>
              <w:t>hs_sensitivity.py</w:t>
            </w:r>
          </w:p>
        </w:tc>
      </w:tr>
      <w:tr>
        <w:tc>
          <w:tcPr>
            <w:tcW w:type="dxa" w:w="2592"/>
          </w:tcPr>
          <w:p>
            <w:r/>
            <w:r>
              <w:rPr>
                <w:rFonts w:ascii="Arial" w:hAnsi="Arial"/>
                <w:sz w:val="20"/>
              </w:rPr>
              <w:t>Nuclear reactors</w:t>
            </w:r>
          </w:p>
        </w:tc>
        <w:tc>
          <w:tcPr>
            <w:tcW w:type="dxa" w:w="2592"/>
          </w:tcPr>
          <w:p>
            <w:r/>
            <w:r>
              <w:rPr>
                <w:rFonts w:ascii="Arial" w:hAnsi="Arial"/>
                <w:sz w:val="20"/>
              </w:rPr>
              <w:t>Flux matrix</w:t>
            </w:r>
          </w:p>
        </w:tc>
        <w:tc>
          <w:tcPr>
            <w:tcW w:type="dxa" w:w="2880"/>
          </w:tcPr>
          <w:p>
            <w:r/>
            <w:r>
              <w:rPr>
                <w:rFonts w:ascii="Arial" w:hAnsi="Arial"/>
                <w:sz w:val="20"/>
              </w:rPr>
              <w:t>hs_controller.py</w:t>
            </w:r>
          </w:p>
        </w:tc>
      </w:tr>
      <w:tr>
        <w:tc>
          <w:tcPr>
            <w:tcW w:type="dxa" w:w="2592"/>
            <w:shd w:fill="F0F4F8" w:val="clear" w:color="auto"/>
          </w:tcPr>
          <w:p>
            <w:r/>
            <w:r>
              <w:rPr>
                <w:rFonts w:ascii="Arial" w:hAnsi="Arial"/>
                <w:sz w:val="20"/>
              </w:rPr>
              <w:t>Environmental</w:t>
            </w:r>
          </w:p>
        </w:tc>
        <w:tc>
          <w:tcPr>
            <w:tcW w:type="dxa" w:w="2592"/>
            <w:shd w:fill="F0F4F8" w:val="clear" w:color="auto"/>
          </w:tcPr>
          <w:p>
            <w:r/>
            <w:r>
              <w:rPr>
                <w:rFonts w:ascii="Arial" w:hAnsi="Arial"/>
                <w:sz w:val="20"/>
              </w:rPr>
              <w:t>Sensor CSV</w:t>
            </w:r>
          </w:p>
        </w:tc>
        <w:tc>
          <w:tcPr>
            <w:tcW w:type="dxa" w:w="2880"/>
            <w:shd w:fill="F0F4F8" w:val="clear" w:color="auto"/>
          </w:tcPr>
          <w:p>
            <w:r/>
            <w:r>
              <w:rPr>
                <w:rFonts w:ascii="Arial" w:hAnsi="Arial"/>
                <w:sz w:val="20"/>
              </w:rPr>
              <w:t>hs_fingerprint.py</w:t>
            </w:r>
          </w:p>
        </w:tc>
      </w:tr>
      <w:tr>
        <w:tc>
          <w:tcPr>
            <w:tcW w:type="dxa" w:w="2592"/>
          </w:tcPr>
          <w:p>
            <w:r/>
            <w:r>
              <w:rPr>
                <w:rFonts w:ascii="Arial" w:hAnsi="Arial"/>
                <w:sz w:val="20"/>
              </w:rPr>
              <w:t>Medical diagnostics</w:t>
            </w:r>
          </w:p>
        </w:tc>
        <w:tc>
          <w:tcPr>
            <w:tcW w:type="dxa" w:w="2592"/>
          </w:tcPr>
          <w:p>
            <w:r/>
            <w:r>
              <w:rPr>
                <w:rFonts w:ascii="Arial" w:hAnsi="Arial"/>
                <w:sz w:val="20"/>
              </w:rPr>
              <w:t>Blood panel</w:t>
            </w:r>
          </w:p>
        </w:tc>
        <w:tc>
          <w:tcPr>
            <w:tcW w:type="dxa" w:w="2880"/>
          </w:tcPr>
          <w:p>
            <w:r/>
            <w:r>
              <w:rPr>
                <w:rFonts w:ascii="Arial" w:hAnsi="Arial"/>
                <w:sz w:val="20"/>
              </w:rPr>
              <w:t>hs_sensitivity.py</w:t>
            </w:r>
          </w:p>
        </w:tc>
      </w:tr>
      <w:tr>
        <w:tc>
          <w:tcPr>
            <w:tcW w:type="dxa" w:w="2592"/>
            <w:shd w:fill="F0F4F8" w:val="clear" w:color="auto"/>
          </w:tcPr>
          <w:p>
            <w:r/>
            <w:r>
              <w:rPr>
                <w:rFonts w:ascii="Arial" w:hAnsi="Arial"/>
                <w:sz w:val="20"/>
              </w:rPr>
              <w:t>Manufacturing</w:t>
            </w:r>
          </w:p>
        </w:tc>
        <w:tc>
          <w:tcPr>
            <w:tcW w:type="dxa" w:w="2592"/>
            <w:shd w:fill="F0F4F8" w:val="clear" w:color="auto"/>
          </w:tcPr>
          <w:p>
            <w:r/>
            <w:r>
              <w:rPr>
                <w:rFonts w:ascii="Arial" w:hAnsi="Arial"/>
                <w:sz w:val="20"/>
              </w:rPr>
              <w:t>Process stream</w:t>
            </w:r>
          </w:p>
        </w:tc>
        <w:tc>
          <w:tcPr>
            <w:tcW w:type="dxa" w:w="2880"/>
            <w:shd w:fill="F0F4F8" w:val="clear" w:color="auto"/>
          </w:tcPr>
          <w:p>
            <w:r/>
            <w:r>
              <w:rPr>
                <w:rFonts w:ascii="Arial" w:hAnsi="Arial"/>
                <w:sz w:val="20"/>
              </w:rPr>
              <w:t>hs_sensitivity.py</w:t>
            </w:r>
          </w:p>
        </w:tc>
      </w:tr>
      <w:tr>
        <w:tc>
          <w:tcPr>
            <w:tcW w:type="dxa" w:w="2592"/>
          </w:tcPr>
          <w:p>
            <w:r/>
            <w:r>
              <w:rPr>
                <w:rFonts w:ascii="Arial" w:hAnsi="Arial"/>
                <w:sz w:val="20"/>
              </w:rPr>
              <w:t>Telecommunications</w:t>
            </w:r>
          </w:p>
        </w:tc>
        <w:tc>
          <w:tcPr>
            <w:tcW w:type="dxa" w:w="2592"/>
          </w:tcPr>
          <w:p>
            <w:r/>
            <w:r>
              <w:rPr>
                <w:rFonts w:ascii="Arial" w:hAnsi="Arial"/>
                <w:sz w:val="20"/>
              </w:rPr>
              <w:t>Traffic window</w:t>
            </w:r>
          </w:p>
        </w:tc>
        <w:tc>
          <w:tcPr>
            <w:tcW w:type="dxa" w:w="2880"/>
          </w:tcPr>
          <w:p>
            <w:r/>
            <w:r>
              <w:rPr>
                <w:rFonts w:ascii="Arial" w:hAnsi="Arial"/>
                <w:sz w:val="20"/>
              </w:rPr>
              <w:t>hs_fingerprint.py</w:t>
            </w:r>
          </w:p>
        </w:tc>
      </w:tr>
      <w:tr>
        <w:tc>
          <w:tcPr>
            <w:tcW w:type="dxa" w:w="2592"/>
            <w:shd w:fill="F0F4F8" w:val="clear" w:color="auto"/>
          </w:tcPr>
          <w:p>
            <w:r/>
            <w:r>
              <w:rPr>
                <w:rFonts w:ascii="Arial" w:hAnsi="Arial"/>
                <w:sz w:val="20"/>
              </w:rPr>
              <w:t>Defence</w:t>
            </w:r>
          </w:p>
        </w:tc>
        <w:tc>
          <w:tcPr>
            <w:tcW w:type="dxa" w:w="2592"/>
            <w:shd w:fill="F0F4F8" w:val="clear" w:color="auto"/>
          </w:tcPr>
          <w:p>
            <w:r/>
            <w:r>
              <w:rPr>
                <w:rFonts w:ascii="Arial" w:hAnsi="Arial"/>
                <w:sz w:val="20"/>
              </w:rPr>
              <w:t>Multi-sensor</w:t>
            </w:r>
          </w:p>
        </w:tc>
        <w:tc>
          <w:tcPr>
            <w:tcW w:type="dxa" w:w="2880"/>
            <w:shd w:fill="F0F4F8" w:val="clear" w:color="auto"/>
          </w:tcPr>
          <w:p>
            <w:r/>
            <w:r>
              <w:rPr>
                <w:rFonts w:ascii="Arial" w:hAnsi="Arial"/>
                <w:sz w:val="20"/>
              </w:rPr>
              <w:t>HUF-GOV</w:t>
            </w:r>
          </w:p>
        </w:tc>
      </w:tr>
      <w:tr>
        <w:tc>
          <w:tcPr>
            <w:tcW w:type="dxa" w:w="2592"/>
          </w:tcPr>
          <w:p>
            <w:r/>
            <w:r>
              <w:rPr>
                <w:rFonts w:ascii="Arial" w:hAnsi="Arial"/>
                <w:sz w:val="20"/>
              </w:rPr>
              <w:t>Energy grid</w:t>
            </w:r>
          </w:p>
        </w:tc>
        <w:tc>
          <w:tcPr>
            <w:tcW w:type="dxa" w:w="2592"/>
          </w:tcPr>
          <w:p>
            <w:r/>
            <w:r>
              <w:rPr>
                <w:rFonts w:ascii="Arial" w:hAnsi="Arial"/>
                <w:sz w:val="20"/>
              </w:rPr>
              <w:t>Gen mix series</w:t>
            </w:r>
          </w:p>
        </w:tc>
        <w:tc>
          <w:tcPr>
            <w:tcW w:type="dxa" w:w="2880"/>
          </w:tcPr>
          <w:p>
            <w:r/>
            <w:r>
              <w:rPr>
                <w:rFonts w:ascii="Arial" w:hAnsi="Arial"/>
                <w:sz w:val="20"/>
              </w:rPr>
              <w:t>hs_sensitivity.py</w:t>
            </w:r>
          </w:p>
        </w:tc>
      </w:tr>
      <w:tr>
        <w:tc>
          <w:tcPr>
            <w:tcW w:type="dxa" w:w="2592"/>
            <w:shd w:fill="F0F4F8" w:val="clear" w:color="auto"/>
          </w:tcPr>
          <w:p>
            <w:r/>
            <w:r>
              <w:rPr>
                <w:rFonts w:ascii="Arial" w:hAnsi="Arial"/>
                <w:sz w:val="20"/>
              </w:rPr>
              <w:t>Geochemistry</w:t>
            </w:r>
          </w:p>
        </w:tc>
        <w:tc>
          <w:tcPr>
            <w:tcW w:type="dxa" w:w="2592"/>
            <w:shd w:fill="F0F4F8" w:val="clear" w:color="auto"/>
          </w:tcPr>
          <w:p>
            <w:r/>
            <w:r>
              <w:rPr>
                <w:rFonts w:ascii="Arial" w:hAnsi="Arial"/>
                <w:sz w:val="20"/>
              </w:rPr>
              <w:t>Standard CoDa</w:t>
            </w:r>
          </w:p>
        </w:tc>
        <w:tc>
          <w:tcPr>
            <w:tcW w:type="dxa" w:w="2880"/>
            <w:shd w:fill="F0F4F8" w:val="clear" w:color="auto"/>
          </w:tcPr>
          <w:p>
            <w:r/>
            <w:r>
              <w:rPr>
                <w:rFonts w:ascii="Arial" w:hAnsi="Arial"/>
                <w:sz w:val="20"/>
              </w:rPr>
              <w:t>Full pipeline</w:t>
            </w:r>
          </w:p>
        </w:tc>
      </w:tr>
      <w:tr>
        <w:tc>
          <w:tcPr>
            <w:tcW w:type="dxa" w:w="2592"/>
          </w:tcPr>
          <w:p>
            <w:r/>
            <w:r>
              <w:rPr>
                <w:rFonts w:ascii="Arial" w:hAnsi="Arial"/>
                <w:sz w:val="20"/>
              </w:rPr>
              <w:t>Pharmaceutical</w:t>
            </w:r>
          </w:p>
        </w:tc>
        <w:tc>
          <w:tcPr>
            <w:tcW w:type="dxa" w:w="2592"/>
          </w:tcPr>
          <w:p>
            <w:r/>
            <w:r>
              <w:rPr>
                <w:rFonts w:ascii="Arial" w:hAnsi="Arial"/>
                <w:sz w:val="20"/>
              </w:rPr>
              <w:t>Formulation</w:t>
            </w:r>
          </w:p>
        </w:tc>
        <w:tc>
          <w:tcPr>
            <w:tcW w:type="dxa" w:w="2880"/>
          </w:tcPr>
          <w:p>
            <w:r/>
            <w:r>
              <w:rPr>
                <w:rFonts w:ascii="Arial" w:hAnsi="Arial"/>
                <w:sz w:val="20"/>
              </w:rPr>
              <w:t>hs_sensitivity.py</w:t>
            </w:r>
          </w:p>
        </w:tc>
      </w:tr>
      <w:tr>
        <w:tc>
          <w:tcPr>
            <w:tcW w:type="dxa" w:w="2592"/>
            <w:shd w:fill="F0F4F8" w:val="clear" w:color="auto"/>
          </w:tcPr>
          <w:p>
            <w:r/>
            <w:r>
              <w:rPr>
                <w:rFonts w:ascii="Arial" w:hAnsi="Arial"/>
                <w:sz w:val="20"/>
              </w:rPr>
              <w:t>Climate science</w:t>
            </w:r>
          </w:p>
        </w:tc>
        <w:tc>
          <w:tcPr>
            <w:tcW w:type="dxa" w:w="2592"/>
            <w:shd w:fill="F0F4F8" w:val="clear" w:color="auto"/>
          </w:tcPr>
          <w:p>
            <w:r/>
            <w:r>
              <w:rPr>
                <w:rFonts w:ascii="Arial" w:hAnsi="Arial"/>
                <w:sz w:val="20"/>
              </w:rPr>
              <w:t>Atmosphere series</w:t>
            </w:r>
          </w:p>
        </w:tc>
        <w:tc>
          <w:tcPr>
            <w:tcW w:type="dxa" w:w="2880"/>
            <w:shd w:fill="F0F4F8" w:val="clear" w:color="auto"/>
          </w:tcPr>
          <w:p>
            <w:r/>
            <w:r>
              <w:rPr>
                <w:rFonts w:ascii="Arial" w:hAnsi="Arial"/>
                <w:sz w:val="20"/>
              </w:rPr>
              <w:t>Phase boundary map</w:t>
            </w:r>
          </w:p>
        </w:tc>
      </w:tr>
      <w:tr>
        <w:tc>
          <w:tcPr>
            <w:tcW w:type="dxa" w:w="2592"/>
          </w:tcPr>
          <w:p>
            <w:r/>
            <w:r>
              <w:rPr>
                <w:rFonts w:ascii="Arial" w:hAnsi="Arial"/>
                <w:sz w:val="20"/>
              </w:rPr>
              <w:t>Sports analytics</w:t>
            </w:r>
          </w:p>
        </w:tc>
        <w:tc>
          <w:tcPr>
            <w:tcW w:type="dxa" w:w="2592"/>
          </w:tcPr>
          <w:p>
            <w:r/>
            <w:r>
              <w:rPr>
                <w:rFonts w:ascii="Arial" w:hAnsi="Arial"/>
                <w:sz w:val="20"/>
              </w:rPr>
              <w:t>Player fractions</w:t>
            </w:r>
          </w:p>
        </w:tc>
        <w:tc>
          <w:tcPr>
            <w:tcW w:type="dxa" w:w="2880"/>
          </w:tcPr>
          <w:p>
            <w:r/>
            <w:r>
              <w:rPr>
                <w:rFonts w:ascii="Arial" w:hAnsi="Arial"/>
                <w:sz w:val="20"/>
              </w:rPr>
              <w:t>hs_sensitivity.py</w:t>
            </w:r>
          </w:p>
        </w:tc>
      </w:tr>
    </w:tbl>
    <w:p/>
    <w:p>
      <w:pPr>
        <w:pStyle w:val="Heading1"/>
      </w:pPr>
      <w:r>
        <w:t>Constraints and Honest Limitations</w:t>
      </w:r>
    </w:p>
    <w:p>
      <w:r>
        <w:t>Hˢ analyses compositional systems — data that represents parts of a whole. It does not apply to absolute measurements that are not compositional.</w:t>
      </w:r>
    </w:p>
    <w:p>
      <w:r>
        <w:t>Hˢ does not replace domain expertise. It provides a geometric reading of compositional structure. The instrument reads. The expert decides. The loop stays open.</w:t>
      </w:r>
    </w:p>
    <w:p>
      <w:r>
        <w:t>The real-time streaming architecture is an architectural pattern, not a deployed system. The pipeline, controller, governor, fingerprint, power mapper, and audit trail exist as validated Python code. Embedded systems engineering is deployment work.</w:t>
      </w:r>
    </w:p>
    <w:p>
      <w:pPr>
        <w:jc w:val="center"/>
      </w:pPr>
      <w:r>
        <w:rPr>
          <w:i/>
          <w:color w:val="666666"/>
        </w:rPr>
        <w:t>The simplex is the same everywhere. The instrument reads any system that lives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E2761"/>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E2761"/>
      <w:sz w:val="30"/>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1E276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