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HUF Skeptic Appendix</w:t>
      </w:r>
    </w:p>
    <w:p>
      <w:pPr>
        <w:jc w:val="center"/>
      </w:pPr>
      <w:r>
        <w:t>Expected academic critiques — and precise answers</w:t>
      </w:r>
    </w:p>
    <w:p>
      <w:pPr>
        <w:jc w:val="center"/>
      </w:pPr>
      <w:r>
        <w:t>v1.3.0 companion</w:t>
      </w:r>
    </w:p>
    <w:p/>
    <w:p>
      <w:r>
        <w:t>Build date: 2026-02-21</w:t>
      </w:r>
    </w:p>
    <w:p>
      <w:r>
        <w:t>Purpose: help technically skeptical readers quickly locate what is proved, what is measured, and what is presented as analogy.</w:t>
      </w:r>
    </w:p>
    <w:p>
      <w:pPr>
        <w:pStyle w:val="Heading1"/>
      </w:pPr>
      <w:r>
        <w:t>1) What is the core claim?</w:t>
      </w:r>
    </w:p>
    <w:p>
      <w:r>
        <w:t>Core claim: HUF provides normalization‑invariant diagnostics of regime dominance and concentration for any scored mixture output, and packages the results as auditable artifacts.</w:t>
      </w:r>
    </w:p>
    <w:p>
      <w:pPr>
        <w:pStyle w:val="Heading1"/>
      </w:pPr>
      <w:r>
        <w:t>2) Is this just ‘normalize weights on the simplex’?</w:t>
      </w:r>
    </w:p>
    <w:p>
      <w:r>
        <w:t>At the base layer, yes: HUF explicitly constructs p on the simplex. The contribution is (a) a consistent artifact protocol, (b) dominance/coherence statistics and concentration summaries that are easy to operationalize, and (c) a stability workflow (τ sweeps, deltas, trace reports) that turns ‘mixture drift’ into something you can track and regress-test.</w:t>
      </w:r>
    </w:p>
    <w:p>
      <w:pPr>
        <w:pStyle w:val="Heading1"/>
      </w:pPr>
      <w:r>
        <w:t>3) What is actually proved vs. suggested?</w:t>
      </w:r>
    </w:p>
    <w:p>
      <w:r>
        <w:t>Proved/derivable (within the handbook’s scope):</w:t>
      </w:r>
    </w:p>
    <w:p>
      <w:pPr>
        <w:pStyle w:val="ListBullet"/>
      </w:pPr>
      <w:r>
        <w:t>• scale invariance under s→αs (α&gt;0) at the regime distribution level.</w:t>
      </w:r>
    </w:p>
    <w:p>
      <w:pPr>
        <w:pStyle w:val="ListBullet"/>
      </w:pPr>
      <w:r>
        <w:t>• functorial behavior of regime merging as pushforward on distributions.</w:t>
      </w:r>
    </w:p>
    <w:p>
      <w:pPr>
        <w:pStyle w:val="ListBullet"/>
      </w:pPr>
      <w:r>
        <w:t>• geometric embedding φ(p) on the sphere, connecting to standard statistical geometry.</w:t>
      </w:r>
    </w:p>
    <w:p>
      <w:r>
        <w:t>Presented as interpretations (not equivalences unless formalized): sheaf/topos/simplicial analogies; QEC analogies; Langlands/arithmetic geometry claims. These should be treated as research directions until fully constructed.</w:t>
      </w:r>
    </w:p>
    <w:p>
      <w:pPr>
        <w:pStyle w:val="Heading1"/>
      </w:pPr>
      <w:r>
        <w:t>4) Where is the universal property?</w:t>
      </w:r>
    </w:p>
    <w:p>
      <w:r>
        <w:t>If a universal property is claimed, it must be stated in category language: e.g., “(R,p) is initial among objects receiving a regime-merging map from a given mixture log under pushforward constraints.” In v1.3.0, we do not claim a strong universal property beyond the standard pushforward construction.</w:t>
      </w:r>
    </w:p>
    <w:p>
      <w:pPr>
        <w:pStyle w:val="Heading1"/>
      </w:pPr>
      <w:r>
        <w:t>5) Does the sphere mapping add anything beyond visualization?</w:t>
      </w:r>
    </w:p>
    <w:p>
      <w:r>
        <w:t>It can, when used as a geometry for stability/contraction analysis or for defining distances between mixtures. Without those steps, it is indeed mostly a convenient coordinate transform. The handbook therefore frames it as ‘geometry support’ for stability workflows.</w:t>
      </w:r>
    </w:p>
    <w:p>
      <w:pPr>
        <w:pStyle w:val="Heading1"/>
      </w:pPr>
      <w:r>
        <w:t>6) What is the computational advantage?</w:t>
      </w:r>
    </w:p>
    <w:p>
      <w:r>
        <w:t>Operational advantage: you can monitor regime dominance and concentration as first-class metrics, and attach traceable artifacts to PRs, incident reports, or eval dashboards. This is valuable precisely when scalar retrieval metrics (NDCG/MRR) hide distributional collapse across sources/tenants.</w:t>
      </w:r>
    </w:p>
    <w:p>
      <w:pPr>
        <w:pStyle w:val="Heading1"/>
      </w:pPr>
      <w:r>
        <w:t>7) What should I verify if I’m reviewing this?</w:t>
      </w:r>
    </w:p>
    <w:p>
      <w:pPr>
        <w:pStyle w:val="ListBullet"/>
      </w:pPr>
      <w:r>
        <w:t>• Reproduce the vector_db example end-to-end; confirm the coherence map reflects your namespaces.</w:t>
      </w:r>
    </w:p>
    <w:p>
      <w:pPr>
        <w:pStyle w:val="ListBullet"/>
      </w:pPr>
      <w:r>
        <w:t>• Run a τ sweep; confirm concentration and active_set size change sensibly.</w:t>
      </w:r>
    </w:p>
    <w:p>
      <w:pPr>
        <w:pStyle w:val="ListBullet"/>
      </w:pPr>
      <w:r>
        <w:t>• Inspect artifact_3_trace_report.jsonl; confirm discards are explainable and consistent.</w:t>
      </w:r>
    </w:p>
    <w:p>
      <w:pPr>
        <w:pStyle w:val="ListBullet"/>
      </w:pPr>
      <w:r>
        <w:t>• Confirm invariance: multiply all input scores by 10 and verify regime-level outputs are unchanged.</w:t>
      </w:r>
    </w:p>
    <w:p>
      <w:pPr>
        <w:pStyle w:val="Heading1"/>
      </w:pPr>
      <w:r>
        <w:t>8) Common failure modes</w:t>
      </w:r>
    </w:p>
    <w:p>
      <w:pPr>
        <w:pStyle w:val="ListBullet"/>
      </w:pPr>
      <w:r>
        <w:t>Mixing shell syntaxes (Bash heredoc in PowerShell) → parse errors.</w:t>
      </w:r>
    </w:p>
    <w:p>
      <w:pPr>
        <w:pStyle w:val="ListBullet"/>
      </w:pPr>
      <w:r>
        <w:t>Including generated outputs in git (site/, out/) → repo looks like HTML, slows clones, confuses reviewers.</w:t>
      </w:r>
    </w:p>
    <w:p>
      <w:pPr>
        <w:pStyle w:val="ListBullet"/>
      </w:pPr>
      <w:r>
        <w:t>Unpinned doc dependencies → MkDocs/Material warnings or build failures.</w:t>
      </w:r>
    </w:p>
    <w:p>
      <w:pPr>
        <w:pStyle w:val="Heading1"/>
      </w:pPr>
      <w:r>
        <w:t>9) Limits and non-goals</w:t>
      </w:r>
    </w:p>
    <w:p>
      <w:r>
        <w:t>HUF does not claim to improve retrieval quality directly; it diagnoses composition and stability. It does not claim that analogies (topos, Langlands, QEC) are theorems. Those belong in separate, peer-reviewable technical notes.</w:t>
      </w:r>
    </w:p>
    <w:p>
      <w:pPr>
        <w:pStyle w:val="Heading1"/>
      </w:pPr>
      <w:r>
        <w:t>10) How to cite or discuss responsibly</w:t>
      </w:r>
    </w:p>
    <w:p>
      <w:r>
        <w:t>Recommended phrasing:</w:t>
      </w:r>
    </w:p>
    <w:p>
      <w:pPr>
        <w:pStyle w:val="ListBullet"/>
      </w:pPr>
      <w:r>
        <w:t>• “HUF is a normalization-invariant audit layer for regime dominance and concentration.”</w:t>
      </w:r>
    </w:p>
    <w:p>
      <w:pPr>
        <w:pStyle w:val="ListBullet"/>
      </w:pPr>
      <w:r>
        <w:t>• “We use sphere embedding of simplex distributions to visualize and analyze mixture stability.”</w:t>
      </w:r>
    </w:p>
    <w:p>
      <w:pPr>
        <w:pStyle w:val="ListBullet"/>
      </w:pPr>
      <w:r>
        <w:t>• “We discuss sheaf/topos analogies as interpretive correspondences, not equivalences.”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