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HUF Handbook</w:t>
      </w:r>
    </w:p>
    <w:p>
      <w:r>
        <w:rPr>
          <w:i/>
        </w:rPr>
        <w:t>Contract-first framework (record copy)</w:t>
      </w:r>
    </w:p>
    <w:p>
      <w:r>
        <w:t>&lt;!-- Auto-converted from HUF_Handbook_v1.1.docx. Figures/line-art images are omitted in this markdown export; see the DOCX/PDF or the artifacts pack for visuals. --&gt;</w:t>
      </w:r>
    </w:p>
    <w:p>
      <w:pPr>
        <w:pStyle w:val="Heading1"/>
      </w:pPr>
      <w:r>
        <w:t>HUF Handbook</w:t>
      </w:r>
    </w:p>
    <w:p>
      <w:pPr>
        <w:pStyle w:val="Heading2"/>
      </w:pPr>
      <w:r>
        <w:t>Figures (from reference runs)</w:t>
      </w:r>
    </w:p>
    <w:p>
      <w:r>
        <w:t>**Planck (70 GHz)**</w:t>
      </w:r>
    </w:p>
    <w:p>
      <w:pPr>
        <w:pStyle w:val="ListBullet"/>
      </w:pPr>
      <w:r>
        <w:t>Coherence map by face (coarse nside=64):</w:t>
      </w:r>
    </w:p>
    <w:p>
      <w:r>
        <w:t>![Planck coherence map faces](assets/coherence_map_faces.png)</w:t>
      </w:r>
    </w:p>
    <w:p>
      <w:pPr>
        <w:pStyle w:val="ListBullet"/>
      </w:pPr>
      <w:r>
        <w:t>Active count vs threshold (stability sweep):</w:t>
      </w:r>
    </w:p>
    <w:p>
      <w:r>
        <w:t>![Planck stability active count](assets/stability_active_count.png)</w:t>
      </w:r>
    </w:p>
    <w:p>
      <w:r>
        <w:t>**Traffic**</w:t>
      </w:r>
    </w:p>
    <w:p>
      <w:pPr>
        <w:pStyle w:val="ListBullet"/>
      </w:pPr>
      <w:r>
        <w:t>Phase activity top contributors:</w:t>
      </w:r>
    </w:p>
    <w:p>
      <w:r>
        <w:t>![Traffic top contributors](assets/active_top15.png)</w:t>
      </w:r>
    </w:p>
    <w:p>
      <w:pPr>
        <w:pStyle w:val="ListBullet"/>
      </w:pPr>
      <w:r>
        <w:t>Anomaly locus top contributors:</w:t>
      </w:r>
    </w:p>
    <w:p>
      <w:r>
        <w:t>![Traffic anomaly top contributors](assets/anomaly_top15.png)</w:t>
      </w:r>
    </w:p>
    <w:p>
      <w:r>
        <w:t>**Markham**</w:t>
      </w:r>
    </w:p>
    <w:p>
      <w:pPr>
        <w:pStyle w:val="ListBullet"/>
      </w:pPr>
      <w:r>
        <w:t>Fund weights (global regime bars):</w:t>
      </w:r>
    </w:p>
    <w:p>
      <w:r>
        <w:t>![Markham fund weights](assets/markham_fund_weights.png)</w:t>
      </w:r>
    </w:p>
    <w:p>
      <w:pPr>
        <w:pStyle w:val="ListBullet"/>
      </w:pPr>
      <w:r>
        <w:t>Stability: retained budget vs threshold:</w:t>
      </w:r>
    </w:p>
    <w:p>
      <w:r>
        <w:t>![Markham stability budget](assets/markham_stability_budget.png)</w:t>
      </w:r>
    </w:p>
    <w:p>
      <w:pPr>
        <w:pStyle w:val="ListBullet"/>
      </w:pPr>
      <w:r>
        <w:t>Stability: active count vs threshold:</w:t>
      </w:r>
    </w:p>
    <w:p>
      <w:r>
        <w:t>![Markham stability count](assets/markham_stability_count.png)</w:t>
      </w:r>
    </w:p>
    <w:p>
      <w:r>
        <w:t>---</w:t>
      </w:r>
    </w:p>
    <w:p>
      <w:r>
        <w:t>Unity‑Budgeted Hierarchies for Auditable Reduction</w:t>
      </w:r>
    </w:p>
    <w:p>
      <w:r>
        <w:t>Version 1.1 (February 2026)</w:t>
      </w:r>
    </w:p>
    <w:p>
      <w:r>
        <w:t>Core + verified reference runs (Planck + Markham + Traffic)</w:t>
      </w:r>
    </w:p>
    <w:p>
      <w:r>
        <w:t>**Data policy:** upstream inputs (Planck FITS / Markham workbook / Toronto traffic CSV) are **not bundled** to keep downloads small. Download them from public sources and place them under `cases/*/inputs/` as documented in `DATA_SOURCES.md`.</w:t>
      </w:r>
    </w:p>
    <w:p>
      <w:pPr>
        <w:pStyle w:val="Heading1"/>
      </w:pPr>
      <w:r>
        <w:t>Contents</w:t>
      </w:r>
    </w:p>
    <w:p>
      <w:pPr>
        <w:pStyle w:val="ListNumber"/>
      </w:pPr>
      <w:r>
        <w:t>HUF in One Page (The Contract)</w:t>
      </w:r>
    </w:p>
    <w:p>
      <w:pPr>
        <w:pStyle w:val="ListNumber"/>
      </w:pPr>
      <w:r>
        <w:t>Core Definitions</w:t>
      </w:r>
    </w:p>
    <w:p>
      <w:pPr>
        <w:pStyle w:val="ListNumber"/>
      </w:pPr>
      <w:r>
        <w:t>The Locked Cycle</w:t>
      </w:r>
    </w:p>
    <w:p>
      <w:pPr>
        <w:pStyle w:val="ListNumber"/>
      </w:pPr>
      <w:r>
        <w:t>Artifact Standards</w:t>
      </w:r>
    </w:p>
    <w:p>
      <w:pPr>
        <w:pStyle w:val="ListNumber"/>
      </w:pPr>
      <w:r>
        <w:t>Stability Packet</w:t>
      </w:r>
    </w:p>
    <w:p>
      <w:pPr>
        <w:pStyle w:val="ListNumber"/>
      </w:pPr>
      <w:r>
        <w:t>Hazards, Pitfalls, and Incompatible Systems</w:t>
      </w:r>
    </w:p>
    <w:p>
      <w:pPr>
        <w:pStyle w:val="ListNumber"/>
      </w:pPr>
      <w:r>
        <w:t>Reference Library</w:t>
      </w:r>
    </w:p>
    <w:p>
      <w:pPr>
        <w:pStyle w:val="ListNumber"/>
      </w:pPr>
      <w:r>
        <w:t>Case Study A — Planck LFI 70 GHz Sky Map (Energy Budget)</w:t>
      </w:r>
    </w:p>
    <w:p>
      <w:pPr>
        <w:pStyle w:val="ListNumber"/>
      </w:pPr>
      <w:r>
        <w:t>Case Study B — Markham 2018 City Budget (Mass Budget)</w:t>
      </w:r>
    </w:p>
    <w:p>
      <w:pPr>
        <w:pStyle w:val="ListNumber"/>
      </w:pPr>
      <w:r>
        <w:t>Case Study C — Traffic Signals (Phase Distribution + Anomaly Dominance)</w:t>
      </w:r>
    </w:p>
    <w:p>
      <w:pPr>
        <w:pStyle w:val="ListNumber"/>
      </w:pPr>
      <w:r>
        <w:t>How to Add a New Domain Adapter</w:t>
      </w:r>
    </w:p>
    <w:p>
      <w:pPr>
        <w:pStyle w:val="ListNumber"/>
      </w:pPr>
      <w:r>
        <w:t>Glossary and Index</w:t>
      </w:r>
    </w:p>
    <w:p>
      <w:pPr>
        <w:pStyle w:val="Heading1"/>
      </w:pPr>
      <w:r>
        <w:t>1. HUF in One Page (The Contract)</w:t>
      </w:r>
    </w:p>
    <w:p>
      <w:r>
        <w:t>HUF compresses a system while preserving a declared unity budget and emitting audit artifacts. If an artifact is missing, the run is invalid.</w:t>
      </w:r>
    </w:p>
    <w:p>
      <w:pPr>
        <w:pStyle w:val="Heading1"/>
      </w:pPr>
      <w:r>
        <w:t>2. Core Definitions</w:t>
      </w:r>
    </w:p>
    <w:p>
      <w:r>
        <w:t>Finite element: smallest verifiable unit that produces a contribution value.</w:t>
      </w:r>
    </w:p>
    <w:p>
      <w:r>
        <w:t>Regime: named grouping of finite elements (or sub‑regimes) that share context; regimes can be nested.</w:t>
      </w:r>
    </w:p>
    <w:p>
      <w:r>
        <w:t>Unity budget: conserved total influence; sums to 1.0 globally (and locally after normalization).</w:t>
      </w:r>
    </w:p>
    <w:p>
      <w:r>
        <w:t>Traceability: every retained contribution must map back to finite elements and source data coordinates.</w:t>
      </w:r>
    </w:p>
    <w:p>
      <w:r>
        <w:t>Budget types (choose exactly one per run):</w:t>
      </w:r>
    </w:p>
    <w:p>
      <w:pPr>
        <w:pStyle w:val="Heading1"/>
      </w:pPr>
      <w:r>
        <w:t>3. The Locked Cycle</w:t>
      </w:r>
    </w:p>
    <w:p>
      <w:r>
        <w:t>Locked cycle: Normalize → Propagate → Aggregate → Exclude → Renormalize. The only freedom is how you define elements, regimes, propagation maps, and thresholds.</w:t>
      </w:r>
    </w:p>
    <w:p>
      <w:r>
        <w:t>[Normalize] → [Propagate] → [Aggregate] → [Exclude] → [Renormalize]</w:t>
      </w:r>
    </w:p>
    <w:p>
      <w:pPr>
        <w:pStyle w:val="Heading1"/>
      </w:pPr>
      <w:r>
        <w:t>4. Artifact Standards</w:t>
      </w:r>
    </w:p>
    <w:p>
      <w:pPr>
        <w:pStyle w:val="Heading1"/>
      </w:pPr>
      <w:r>
        <w:t>5. Stability Packet</w:t>
      </w:r>
    </w:p>
    <w:p>
      <w:r>
        <w:t>Run ≥ 5 thresholds τ and record: retained budget, active set size, turnover (Jaccard), and rank stability (Spearman).</w:t>
      </w:r>
    </w:p>
    <w:p>
      <w:r>
        <w:t>If stability fails, redesign elements/regimes before publishing results.</w:t>
      </w:r>
    </w:p>
    <w:p>
      <w:pPr>
        <w:pStyle w:val="Heading1"/>
      </w:pPr>
      <w:r>
        <w:t>6. Hazards, Pitfalls, and Incompatible Systems</w:t>
      </w:r>
    </w:p>
    <w:p>
      <w:r>
        <w:t>HUF preserves what you declare. Wrong budget ⇒ wrong answers, perfectly audited.</w:t>
      </w:r>
    </w:p>
    <w:p>
      <w:r>
        <w:t>If you can’t audit finite elements, don’t run HUF.</w:t>
      </w:r>
    </w:p>
    <w:p>
      <w:r>
        <w:t>Propagation must be explicit and conservation‑checked (no black boxes).</w:t>
      </w:r>
    </w:p>
    <w:p>
      <w:r>
        <w:t>Signed cancellation needs an extension (not covered here).</w:t>
      </w:r>
    </w:p>
    <w:p>
      <w:r>
        <w:t>Do not compare runs across different budgets or different element definitions.</w:t>
      </w:r>
    </w:p>
    <w:p>
      <w:pPr>
        <w:pStyle w:val="Heading1"/>
      </w:pPr>
      <w:r>
        <w:t>7. Reference Library</w:t>
      </w:r>
    </w:p>
    <w:p>
      <w:r>
        <w:t>A reference Python library (zip) accompanies this handbook. It includes CLI commands, adapters for these case studies, and tests.</w:t>
      </w:r>
    </w:p>
    <w:p>
      <w:r>
        <w:t>CLI (inputs not bundled; see `DATA_SOURCES.md`):</w:t>
      </w:r>
    </w:p>
    <w:p>
      <w:r>
        <w:t># fetch Markham + Toronto inputs (Planck is manual)</w:t>
      </w:r>
    </w:p>
    <w:p>
      <w:r>
        <w:t>make fetch-data</w:t>
      </w:r>
    </w:p>
    <w:p>
      <w:r>
        <w:t># or: python scripts/fetch_data.py --markham --toronto</w:t>
      </w:r>
    </w:p>
    <w:p>
      <w:r>
        <w:t>huf planck --fits cases/planck70/inputs/LFI_SkyMap_070_1024_R3.00_full.fits --out out/planck70 --retained-target 0.97 --nside-out 64</w:t>
      </w:r>
    </w:p>
    <w:p>
      <w:r>
        <w:t>huf markham --xlsx cases/markham2018/inputs/2018-Budget-Allocation-of-Revenue-and-Expenditure-by-Fund.xlsx --out out/markham2018 --tau-global 0.005 --tau-local 0.02</w:t>
      </w:r>
    </w:p>
    <w:p>
      <w:r>
        <w:t>huf traffic --csv cases/traffic_phase/inputs/toronto_traffic_signals_phase_status.csv --out out/traffic_phase --tau-local 0.05</w:t>
      </w:r>
    </w:p>
    <w:p>
      <w:r>
        <w:t>huf traffic-anomaly --csv cases/traffic_anomaly/inputs/toronto_traffic_signals_phase_status.csv --out out/traffic_anomaly --status "Green Termination" --tau-global 0.005</w:t>
      </w:r>
    </w:p>
    <w:p>
      <w:pPr>
        <w:pStyle w:val="Heading1"/>
      </w:pPr>
      <w:r>
        <w:t>8. Case Study A — Planck LFI 70 GHz Sky Map (Energy Budget)</w:t>
      </w:r>
    </w:p>
    <w:p>
      <w:r>
        <w:t>Real HEALPix Planck LFI 70 GHz map. Budget is energy in pixel basis; discarded budget equals reconstruction error (Parseval).</w:t>
      </w:r>
    </w:p>
    <w:p>
      <w:r>
        <w:t>Coherence map:</w:t>
      </w:r>
    </w:p>
    <w:p>
      <w:r>
        <w:t>Stability sweep:</w:t>
      </w:r>
    </w:p>
    <w:p>
      <w:pPr>
        <w:pStyle w:val="Heading2"/>
      </w:pPr>
      <w:r>
        <w:t>Top retained regimes:</w:t>
      </w:r>
    </w:p>
    <w:p>
      <w:pPr>
        <w:pStyle w:val="Heading1"/>
      </w:pPr>
      <w:r>
        <w:t>9. Case Study B — Markham 2018 City Budget (Mass Budget)</w:t>
      </w:r>
    </w:p>
    <w:p>
      <w:r>
        <w:t>Public city expenditures. Budget is spend share; discarded budget is the explicit loss ledger.</w:t>
      </w:r>
    </w:p>
    <w:p>
      <w:r>
        <w:t>Fund weights:</w:t>
      </w:r>
    </w:p>
    <w:p>
      <w:r>
        <w:t>Stability sweep:</w:t>
      </w:r>
    </w:p>
    <w:p>
      <w:pPr>
        <w:pStyle w:val="Heading2"/>
      </w:pPr>
      <w:r>
        <w:t>Top retained elements:</w:t>
      </w:r>
    </w:p>
    <w:p>
      <w:pPr>
        <w:pStyle w:val="Heading1"/>
      </w:pPr>
      <w:r>
        <w:t>10. Case Study C — Traffic Signals (Phase Distribution + Anomaly Dominance)</w:t>
      </w:r>
    </w:p>
    <w:p>
      <w:r>
        <w:t>Two runs: (1) phase activity distribution; (2) anomaly dominance. For anomaly dominance: finite element = TCS × PHASE × PHASE_STATUS_TEXT (± PHASE_CALL_TEXT). Budget = event share or severity‑weighted share (weights must be declared).</w:t>
      </w:r>
    </w:p>
    <w:p>
      <w:r>
        <w:t>Phase distribution top-15 contributions:</w:t>
      </w:r>
    </w:p>
    <w:p>
      <w:r>
        <w:t>Anomaly dominance top-15 contributions:</w:t>
      </w:r>
    </w:p>
    <w:p>
      <w:pPr>
        <w:pStyle w:val="Heading1"/>
      </w:pPr>
      <w:r>
        <w:t>11. How to Add a New Domain Adapter</w:t>
      </w:r>
    </w:p>
    <w:p>
      <w:r>
        <w:t>Declare budget type and units.</w:t>
      </w:r>
    </w:p>
    <w:p>
      <w:r>
        <w:t>Define finite elements with audit coordinates.</w:t>
      </w:r>
    </w:p>
    <w:p>
      <w:r>
        <w:t>Define regimes (explainable groupings).</w:t>
      </w:r>
    </w:p>
    <w:p>
      <w:r>
        <w:t>Define propagation map(s) with conservation checks.</w:t>
      </w:r>
    </w:p>
    <w:p>
      <w:r>
        <w:t>Choose thresholds and generate a stability packet.</w:t>
      </w:r>
    </w:p>
    <w:p>
      <w:r>
        <w:t>Emit artifacts and treat them as deliverables.</w:t>
      </w:r>
    </w:p>
    <w:p>
      <w:pPr>
        <w:pStyle w:val="Heading1"/>
      </w:pPr>
      <w:r>
        <w:t>12. Glossary and Index</w:t>
      </w:r>
    </w:p>
    <w:p>
      <w:pPr>
        <w:pStyle w:val="Heading2"/>
      </w:pPr>
      <w:r>
        <w:t>Glossary</w:t>
      </w:r>
    </w:p>
    <w:p>
      <w:pPr>
        <w:pStyle w:val="Heading2"/>
      </w:pPr>
      <w:r>
        <w:t>Index (term → section)</w:t>
      </w:r>
    </w:p>
    <w:p>
      <w:r>
        <w:t>Active set — 4, 8–10</w:t>
      </w:r>
    </w:p>
    <w:p>
      <w:r>
        <w:t>Budget type — 2, 8–10</w:t>
      </w:r>
    </w:p>
    <w:p>
      <w:r>
        <w:t>Coherence map — 4, 8–10</w:t>
      </w:r>
    </w:p>
    <w:p>
      <w:r>
        <w:t>Contract — 1</w:t>
      </w:r>
    </w:p>
    <w:p>
      <w:r>
        <w:t>Discarded budget — 4, 8–10</w:t>
      </w:r>
    </w:p>
    <w:p>
      <w:r>
        <w:t>Finite element — 2, 8–10</w:t>
      </w:r>
    </w:p>
    <w:p>
      <w:r>
        <w:t>Hazards — 6</w:t>
      </w:r>
    </w:p>
    <w:p>
      <w:r>
        <w:t>Markham — 9</w:t>
      </w:r>
    </w:p>
    <w:p>
      <w:r>
        <w:t>Planck — 8</w:t>
      </w:r>
    </w:p>
    <w:p>
      <w:r>
        <w:t>Propagation — 3</w:t>
      </w:r>
    </w:p>
    <w:p>
      <w:r>
        <w:t>Regime — 2, 8–10</w:t>
      </w:r>
    </w:p>
    <w:p>
      <w:r>
        <w:t>Stability packet — 5, 8–9</w:t>
      </w:r>
    </w:p>
    <w:p>
      <w:r>
        <w:t>Trace report — 4, 8–10</w:t>
      </w:r>
    </w:p>
    <w:p>
      <w:r>
        <w:t>Traffic signals — 10</w:t>
      </w:r>
    </w:p>
    <w:p>
      <w:r>
        <w:t>Unity — 1–6</w:t>
      </w:r>
    </w:p>
    <w:p>
      <w:pPr>
        <w:pStyle w:val="Heading2"/>
      </w:pPr>
      <w:r>
        <w:t>Tables (from DOCX)</w:t>
      </w:r>
    </w:p>
    <w:p>
      <w:pPr>
        <w:pStyle w:val="Heading3"/>
      </w:pPr>
      <w:r>
        <w:t>Table 1</w:t>
      </w:r>
    </w:p>
    <w:p>
      <w:r>
        <w:t>| Non‑Negotiable | Pass/Fail Test | Why it exists |</w:t>
      </w:r>
    </w:p>
    <w:p>
      <w:r>
        <w:t>| --- | --- | --- |</w:t>
      </w:r>
    </w:p>
    <w:p>
      <w:r>
        <w:t>| Budget declaration | Budget type declared once (mass/weight OR energy/power). Non‑negative unless using a signed extension. | Prevents mixing incompatible meanings. |</w:t>
      </w:r>
    </w:p>
    <w:p>
      <w:r>
        <w:t>| Unity preservation | Global unity holds after every operation. Regime unity holds after normalization/exclusion. | Prevents silent drift. |</w:t>
      </w:r>
    </w:p>
    <w:p>
      <w:r>
        <w:t>| Locked cycle | Normalize → Propagate → Aggregate → Exclude → Renormalize. | Prevents ad‑hoc steps and post‑hoc fixes. |</w:t>
      </w:r>
    </w:p>
    <w:p>
      <w:r>
        <w:t>| Artifact emission | Coherence map, active set, trace report, error/budget report emitted every cycle. | Turns reduction into an auditable product. |</w:t>
      </w:r>
    </w:p>
    <w:p>
      <w:r>
        <w:t>| Repro stamp | Inputs hash + config + timestamp recorded. | Enables repeat runs and external review. |</w:t>
      </w:r>
    </w:p>
    <w:p>
      <w:pPr>
        <w:pStyle w:val="Heading3"/>
      </w:pPr>
      <w:r>
        <w:t>Table 2</w:t>
      </w:r>
    </w:p>
    <w:p>
      <w:r>
        <w:t>| Budget Type | Unity Meaning | Typical Domains |</w:t>
      </w:r>
    </w:p>
    <w:p>
      <w:r>
        <w:t>| --- | --- | --- |</w:t>
      </w:r>
    </w:p>
    <w:p>
      <w:r>
        <w:t>| Mass/Weight | ∑ρ = 1 over non‑negative contributions. | Spending, counts, event shares, portfolio weights. |</w:t>
      </w:r>
    </w:p>
    <w:p>
      <w:r>
        <w:t>| Energy/Power | ∑|c|² = 1 (orthonormal basis) or normalized energy. | Harmonics, spherical modes, HEALPix fields. |</w:t>
      </w:r>
    </w:p>
    <w:p>
      <w:pPr>
        <w:pStyle w:val="Heading3"/>
      </w:pPr>
      <w:r>
        <w:t>Table 3</w:t>
      </w:r>
    </w:p>
    <w:p>
      <w:r>
        <w:t>| Normalize | Propagate | Aggregate | Exclude |</w:t>
      </w:r>
    </w:p>
    <w:p>
      <w:r>
        <w:t>| --- | --- | --- | --- |</w:t>
      </w:r>
    </w:p>
    <w:p>
      <w:r>
        <w:t>| Rescale ρ to satisfy unity. | Move budget through an explicit, conservation‑checked map. | Merge near‑duplicate contributors; preserve trace mapping. | Drop below threshold; ledger discarded budget; renormalize. |</w:t>
      </w:r>
    </w:p>
    <w:p>
      <w:pPr>
        <w:pStyle w:val="Heading3"/>
      </w:pPr>
      <w:r>
        <w:t>Table 4</w:t>
      </w:r>
    </w:p>
    <w:p>
      <w:r>
        <w:t>| Artifact | Minimum | Use |</w:t>
      </w:r>
    </w:p>
    <w:p>
      <w:r>
        <w:t>| --- | --- | --- |</w:t>
      </w:r>
    </w:p>
    <w:p>
      <w:r>
        <w:t>| Coherence map | Unity bars + regime weights + drift checks. | Dominance summary. |</w:t>
      </w:r>
    </w:p>
    <w:p>
      <w:r>
        <w:t>| Active set | Retained items with shares + thresholds. | Compressed system. |</w:t>
      </w:r>
    </w:p>
    <w:p>
      <w:r>
        <w:t>| Trace report | Back‑mapping to finite elements + source coordinates. | Audit + root cause. |</w:t>
      </w:r>
    </w:p>
    <w:p>
      <w:r>
        <w:t>| Error/Budget report | Discarded budget + error metric. | Loss ledger. |</w:t>
      </w:r>
    </w:p>
    <w:p>
      <w:pPr>
        <w:pStyle w:val="Heading3"/>
      </w:pPr>
      <w:r>
        <w:t>Table 5</w:t>
      </w:r>
    </w:p>
    <w:p>
      <w:r>
        <w:t>| Item | Value |</w:t>
      </w:r>
    </w:p>
    <w:p>
      <w:r>
        <w:t>| --- | --- |</w:t>
      </w:r>
    </w:p>
    <w:p>
      <w:r>
        <w:t>| Input | 12,582,912 pixels (nside=1024, NESTED) |</w:t>
      </w:r>
    </w:p>
    <w:p>
      <w:r>
        <w:t>| Coarse regime | 49,152 coarse pixels (nside=64) |</w:t>
      </w:r>
    </w:p>
    <w:p>
      <w:r>
        <w:t>| Finite element | Group of 256 fine pixels → coarse pixel energy |</w:t>
      </w:r>
    </w:p>
    <w:p>
      <w:r>
        <w:t>| Discarded budget | 0.030000 |</w:t>
      </w:r>
    </w:p>
    <w:p>
      <w:r>
        <w:t>| RMSE | 7.6942e-05 |</w:t>
      </w:r>
    </w:p>
    <w:p>
      <w:r>
        <w:t>| Effective τ (from sweep) | 1.663e-06 |</w:t>
      </w:r>
    </w:p>
    <w:p>
      <w:r>
        <w:t>| Active set | 18,198 regimes retained |</w:t>
      </w:r>
    </w:p>
    <w:p>
      <w:pPr>
        <w:pStyle w:val="Heading3"/>
      </w:pPr>
      <w:r>
        <w:t>Table 6</w:t>
      </w:r>
    </w:p>
    <w:p>
      <w:r>
        <w:t>| item_id | rho_global_pre | rho_global_post | trace_path (short) |</w:t>
      </w:r>
    </w:p>
    <w:p>
      <w:r>
        <w:t>| --- | --- | --- | --- |</w:t>
      </w:r>
    </w:p>
    <w:p>
      <w:r>
        <w:t>| face04/pix1636 | 0.104598 | 0.107833 | face04 / pix1636 / fine[4613120:4613375] |</w:t>
      </w:r>
    </w:p>
    <w:p>
      <w:r>
        <w:t>| face10/pix3738 | 0.0585659 | 0.0603772 | face10 / pix3738 / fine[11442688:11442943] |</w:t>
      </w:r>
    </w:p>
    <w:p>
      <w:r>
        <w:t>| face04/pix2407 | 0.0369717 | 0.0381151 | face04 / pix2407 / fine[4810496:4810751] |</w:t>
      </w:r>
    </w:p>
    <w:p>
      <w:r>
        <w:t>| face06/pix0894 | 0.0350825 | 0.0361675 | face06 / pix0894 / fine[6520320:6520575] |</w:t>
      </w:r>
    </w:p>
    <w:p>
      <w:r>
        <w:t>| face04/pix1706 | 0.0329661 | 0.0339856 | face04 / pix1706 / fine[4631040:4631295] |</w:t>
      </w:r>
    </w:p>
    <w:p>
      <w:r>
        <w:t>| face04/pix2412 | 0.020599 | 0.021236 | face04 / pix2412 / fine[4811776:4812031] |</w:t>
      </w:r>
    </w:p>
    <w:p>
      <w:r>
        <w:t>| face07/pix1620 | 0.0189408 | 0.0195266 | face07 / pix1620 / fine[7754752:7755007] |</w:t>
      </w:r>
    </w:p>
    <w:p>
      <w:r>
        <w:t>| face07/pix1635 | 0.0186632 | 0.0192404 | face07 / pix1635 / fine[7758592:7758847] |</w:t>
      </w:r>
    </w:p>
    <w:p>
      <w:pPr>
        <w:pStyle w:val="Heading3"/>
      </w:pPr>
      <w:r>
        <w:t>Table 7</w:t>
      </w:r>
    </w:p>
    <w:p>
      <w:r>
        <w:t>| Item | Value |</w:t>
      </w:r>
    </w:p>
    <w:p>
      <w:r>
        <w:t>| --- | --- |</w:t>
      </w:r>
    </w:p>
    <w:p>
      <w:r>
        <w:t>| Input | 2018-Budget-Allocation-of-Revenue-and-Expenditure-by-Fund.xlsx (EXPENDITURES) |</w:t>
      </w:r>
    </w:p>
    <w:p>
      <w:r>
        <w:t>| Finite element | Fund × Account line item |</w:t>
      </w:r>
    </w:p>
    <w:p>
      <w:r>
        <w:t>| Regime | Fund |</w:t>
      </w:r>
    </w:p>
    <w:p>
      <w:r>
        <w:t>| Thresholds | global ≥ 0.005 OR within‑fund ≥ 0.02 |</w:t>
      </w:r>
    </w:p>
    <w:p>
      <w:r>
        <w:t>| Elements | 67 total → 24 retained |</w:t>
      </w:r>
    </w:p>
    <w:p>
      <w:r>
        <w:t>| Discarded budget | 0.028980 |</w:t>
      </w:r>
    </w:p>
    <w:p>
      <w:r>
        <w:t>| Total spend | 456,172 k$ |</w:t>
      </w:r>
    </w:p>
    <w:p>
      <w:pPr>
        <w:pStyle w:val="Heading3"/>
      </w:pPr>
      <w:r>
        <w:t>Table 8</w:t>
      </w:r>
    </w:p>
    <w:p>
      <w:r>
        <w:t>| Fund | Account | Amount (k$) | rho_global_raw | keep_reason |</w:t>
      </w:r>
    </w:p>
    <w:p>
      <w:r>
        <w:t>| --- | --- | --- | --- | --- |</w:t>
      </w:r>
    </w:p>
    <w:p>
      <w:r>
        <w:t>| Operating Fund | Salaries &amp; Benefits | 131,828 | 0.2890 | global |</w:t>
      </w:r>
    </w:p>
    <w:p>
      <w:r>
        <w:t>| Waterworks/Stabilization Capital Reserve | Contracted Municipal Services | 100,989 | 0.2214 | global |</w:t>
      </w:r>
    </w:p>
    <w:p>
      <w:r>
        <w:t>| Capital Development Fund | Capital Expenditures | 77,715 | 0.1704 | global |</w:t>
      </w:r>
    </w:p>
    <w:p>
      <w:r>
        <w:t>| Operating Fund | Transfers to Reserves | 28,756 | 0.0630 | global |</w:t>
      </w:r>
    </w:p>
    <w:p>
      <w:r>
        <w:t>| Waterworks/Stabilization Capital Reserve | Transfers to Reserves | 15,281 | 0.0335 | global |</w:t>
      </w:r>
    </w:p>
    <w:p>
      <w:r>
        <w:t>| Operating Fund | Contracted Municipal Services | 11,167 | 0.0245 | global |</w:t>
      </w:r>
    </w:p>
    <w:p>
      <w:r>
        <w:t>| Operating Fund | Utilities | 9,121 | 0.0200 | global |</w:t>
      </w:r>
    </w:p>
    <w:p>
      <w:r>
        <w:t>| Waterworks/Stabilization Capital Reserve | Salaries &amp; Benefits | 7,729 | 0.0169 | global |</w:t>
      </w:r>
    </w:p>
    <w:p>
      <w:r>
        <w:t>| Planning &amp; Design | Salaries &amp; Benefits | 6,851 | 0.0150 | global |</w:t>
      </w:r>
    </w:p>
    <w:p>
      <w:r>
        <w:t>| Operating Fund | Maintenance &amp; Repair | 6,848 | 0.0150 | global |</w:t>
      </w:r>
    </w:p>
    <w:p>
      <w:pPr>
        <w:pStyle w:val="Heading3"/>
      </w:pPr>
      <w:r>
        <w:t>Table 9</w:t>
      </w:r>
    </w:p>
    <w:p>
      <w:r>
        <w:t>| Run | Budget | Discarded budget |</w:t>
      </w:r>
    </w:p>
    <w:p>
      <w:r>
        <w:t>| --- | --- | --- |</w:t>
      </w:r>
    </w:p>
    <w:p>
      <w:r>
        <w:t>| Phase activity distribution | Event share | 0.0010 |</w:t>
      </w:r>
    </w:p>
    <w:p>
      <w:r>
        <w:t>| Anomaly dominance (Green Termination) | Event share on subset | 0.6741 |</w:t>
      </w:r>
    </w:p>
    <w:p>
      <w:pPr>
        <w:pStyle w:val="Heading3"/>
      </w:pPr>
      <w:r>
        <w:t>Table 10</w:t>
      </w:r>
    </w:p>
    <w:p>
      <w:r>
        <w:t>| Term | Definition |</w:t>
      </w:r>
    </w:p>
    <w:p>
      <w:r>
        <w:t>| --- | --- |</w:t>
      </w:r>
    </w:p>
    <w:p>
      <w:r>
        <w:t>| Finite element | Smallest verifiable unit producing a contribution value. |</w:t>
      </w:r>
    </w:p>
    <w:p>
      <w:r>
        <w:t>| Regime | Named grouping of elements sharing context. |</w:t>
      </w:r>
    </w:p>
    <w:p>
      <w:r>
        <w:t>| Unity budget | Conserved influence total (equals 1). |</w:t>
      </w:r>
    </w:p>
    <w:p>
      <w:r>
        <w:t>| Discarded budget | Pruned mass/energy before renormalization. |</w:t>
      </w:r>
    </w:p>
    <w:p>
      <w:r>
        <w:t>| Coherence map | Unity bars + regime weights summary. |</w:t>
      </w:r>
    </w:p>
    <w:p>
      <w:r>
        <w:t>| Active set | Retained elements after exclusion. |</w:t>
      </w:r>
    </w:p>
    <w:p>
      <w:r>
        <w:t>| Trace report | Back‑mapping from retained items to sources. |</w:t>
      </w:r>
    </w:p>
    <w:p>
      <w:r>
        <w:t>| Stability packet | Threshold sweep quantifying brittleness.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