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b/>
          <w:color w:val="B8A06E"/>
          <w:sz w:val="22"/>
        </w:rPr>
        <w:t>DOSSIER 03 · V9 · 4C-ANALYSE · HYE NV</w:t>
      </w:r>
    </w:p>
    <w:p>
      <w:r>
        <w:rPr>
          <w:b/>
          <w:color w:val="1B2A49"/>
          <w:sz w:val="60"/>
        </w:rPr>
        <w:t>HYE in zijn 4C-context</w:t>
      </w:r>
    </w:p>
    <w:p>
      <w:r>
        <w:rPr>
          <w:i/>
          <w:color w:val="555555"/>
          <w:sz w:val="26"/>
        </w:rPr>
        <w:t>Customer × Company × Category × Culture — en de spanning waarop een nieuwe positionering kan worden gebouwd.</w:t>
      </w:r>
    </w:p>
    <w:p>
      <w:pPr>
        <w:pBdr>
          <w:bottom w:val="single" w:sz="6" w:space="1" w:color="B8A06E"/>
        </w:pBdr>
      </w:pPr>
    </w:p>
    <w:p/>
    <w:p>
      <w:pPr>
        <w:spacing w:before="280" w:after="80"/>
      </w:pPr>
      <w:r>
        <w:rPr>
          <w:b/>
          <w:color w:val="1B2A49"/>
          <w:sz w:val="28"/>
        </w:rPr>
        <w:t>C1.  Customer  —  wie zijn de klanten echt</w:t>
      </w:r>
    </w:p>
    <w:p>
      <w:pPr>
        <w:spacing w:before="160" w:after="40"/>
      </w:pPr>
      <w:r>
        <w:rPr>
          <w:b/>
          <w:color w:val="B8A06E"/>
          <w:sz w:val="23"/>
        </w:rPr>
        <w:t>Het primaire klantsegment</w:t>
      </w:r>
    </w:p>
    <w:p>
      <w:pPr>
        <w:spacing w:after="120" w:line="288" w:lineRule="auto"/>
      </w:pPr>
      <w:r>
        <w:rPr>
          <w:b w:val="0"/>
          <w:i w:val="0"/>
          <w:sz w:val="22"/>
        </w:rPr>
        <w:t>HYE bedient drie sterk gelaagde klantgroepen, met verschillende koopgedragingen en machtsdynamiek:</w:t>
      </w:r>
    </w:p>
    <w:p>
      <w:pPr>
        <w:spacing w:before="160" w:after="40"/>
      </w:pPr>
      <w:r>
        <w:rPr>
          <w:b/>
          <w:color w:val="B8A06E"/>
          <w:sz w:val="23"/>
        </w:rPr>
        <w:t>Publieke opdrachtgevers (60-70% van de omzet, schatting)</w:t>
      </w:r>
    </w:p>
    <w:p>
      <w:pPr>
        <w:pStyle w:val="ListBullet"/>
        <w:spacing w:after="40"/>
      </w:pPr>
      <w:r>
        <w:rPr>
          <w:sz w:val="22"/>
        </w:rPr>
        <w:t>De Vlaamse Waterweg NV — verreweg de grootste; meerjarenplannen rond Sigma-plan, Albertkanaal, sluis-renovatie en op afstand bedienen van 427 kunstwerken.</w:t>
      </w:r>
    </w:p>
    <w:p>
      <w:pPr>
        <w:pStyle w:val="ListBullet"/>
        <w:spacing w:after="40"/>
      </w:pPr>
      <w:r>
        <w:rPr>
          <w:sz w:val="22"/>
        </w:rPr>
        <w:t>Lantis — bouwbeer van de Oosterweelverbinding en aanverwante projecten.</w:t>
      </w:r>
    </w:p>
    <w:p>
      <w:pPr>
        <w:pStyle w:val="ListBullet"/>
        <w:spacing w:after="40"/>
      </w:pPr>
      <w:r>
        <w:rPr>
          <w:sz w:val="22"/>
        </w:rPr>
        <w:t>Havenbedrijven Antwerpen-Brugge, Gent.</w:t>
      </w:r>
    </w:p>
    <w:p>
      <w:pPr>
        <w:pStyle w:val="ListBullet"/>
        <w:spacing w:after="40"/>
      </w:pPr>
      <w:r>
        <w:rPr>
          <w:sz w:val="22"/>
        </w:rPr>
        <w:t>Rijkswaterstaat (Nederland) — bruggen en sluizen Maas, Schelde-Rijn.</w:t>
      </w:r>
    </w:p>
    <w:p>
      <w:pPr>
        <w:pStyle w:val="ListBullet"/>
        <w:spacing w:after="40"/>
      </w:pPr>
      <w:r>
        <w:rPr>
          <w:sz w:val="22"/>
        </w:rPr>
        <w:t>Lokale besturen voor kades en kleinere kunstwerken.</w:t>
      </w:r>
    </w:p>
    <w:p>
      <w:pPr>
        <w:spacing w:before="160" w:after="40"/>
      </w:pPr>
      <w:r>
        <w:rPr>
          <w:b/>
          <w:color w:val="B8A06E"/>
          <w:sz w:val="23"/>
        </w:rPr>
        <w:t>Private opdrachtgevers (industrie &amp; logistiek)</w:t>
      </w:r>
    </w:p>
    <w:p>
      <w:pPr>
        <w:pStyle w:val="ListBullet"/>
        <w:spacing w:after="40"/>
      </w:pPr>
      <w:r>
        <w:rPr>
          <w:sz w:val="22"/>
        </w:rPr>
        <w:t>Containerterminals (DP World, PSA Antwerp).</w:t>
      </w:r>
    </w:p>
    <w:p>
      <w:pPr>
        <w:pStyle w:val="ListBullet"/>
        <w:spacing w:after="40"/>
      </w:pPr>
      <w:r>
        <w:rPr>
          <w:sz w:val="22"/>
        </w:rPr>
        <w:t>Petrochemie (ExxonMobil, Total) — jetty's, terminaltoegangen.</w:t>
      </w:r>
    </w:p>
    <w:p>
      <w:pPr>
        <w:pStyle w:val="ListBullet"/>
        <w:spacing w:after="40"/>
      </w:pPr>
      <w:r>
        <w:rPr>
          <w:sz w:val="22"/>
        </w:rPr>
        <w:t>Energy spelers (waterkrachtcentrales).</w:t>
      </w:r>
    </w:p>
    <w:p>
      <w:pPr>
        <w:pStyle w:val="ListBullet"/>
        <w:spacing w:after="40"/>
      </w:pPr>
      <w:r>
        <w:rPr>
          <w:sz w:val="22"/>
        </w:rPr>
        <w:t>Scheepswerven via zustervennootschap Navitec.</w:t>
      </w:r>
    </w:p>
    <w:p>
      <w:pPr>
        <w:spacing w:before="160" w:after="40"/>
      </w:pPr>
      <w:r>
        <w:rPr>
          <w:b/>
          <w:color w:val="B8A06E"/>
          <w:sz w:val="23"/>
        </w:rPr>
        <w:t>Consortiumpartners — vaak klant én collega tegelijk</w:t>
      </w:r>
    </w:p>
    <w:p>
      <w:pPr>
        <w:pStyle w:val="ListBullet"/>
        <w:spacing w:after="40"/>
      </w:pPr>
      <w:r>
        <w:rPr>
          <w:sz w:val="22"/>
        </w:rPr>
        <w:t>Franki Construct, Willemen Infra, Aelterman — partners in nv Via T Albert voor Albertkanaal-cluster 2.</w:t>
      </w:r>
    </w:p>
    <w:p>
      <w:pPr>
        <w:pStyle w:val="ListBullet"/>
        <w:spacing w:after="40"/>
      </w:pPr>
      <w:r>
        <w:rPr>
          <w:sz w:val="22"/>
        </w:rPr>
        <w:t>Besix, Jan De Nul, DEME — soms partner, soms concurrent.</w:t>
      </w:r>
    </w:p>
    <w:p>
      <w:pPr>
        <w:pStyle w:val="ListBullet"/>
        <w:spacing w:after="40"/>
      </w:pPr>
      <w:r>
        <w:rPr>
          <w:sz w:val="22"/>
        </w:rPr>
        <w:t>Pittige paradox: een waterbouwbedrijf in België heeft 20 grote concurrenten, maar bouwt zelden alleen — dezelfde 20 zijn ook de partners.</w:t>
      </w:r>
    </w:p>
    <w:p>
      <w:pPr>
        <w:spacing w:before="160" w:after="40"/>
      </w:pPr>
      <w:r>
        <w:rPr>
          <w:b/>
          <w:color w:val="B8A06E"/>
          <w:sz w:val="23"/>
        </w:rPr>
        <w:t>Koopgedrag: wat telt voor de klant</w:t>
      </w:r>
    </w:p>
    <w:p>
      <w:pPr>
        <w:pStyle w:val="ListBullet"/>
        <w:spacing w:after="40"/>
      </w:pPr>
      <w:r>
        <w:rPr>
          <w:sz w:val="22"/>
        </w:rPr>
        <w:t>Prijs in publieke aanbesteding (gemiddeld 70% van de gunningsscore in Vlaanderen).</w:t>
      </w:r>
    </w:p>
    <w:p>
      <w:pPr>
        <w:pStyle w:val="ListBullet"/>
        <w:spacing w:after="40"/>
      </w:pPr>
      <w:r>
        <w:rPr>
          <w:sz w:val="22"/>
        </w:rPr>
        <w:t>Track record met vergelijkbare scope, gestaafd met referenties.</w:t>
      </w:r>
    </w:p>
    <w:p>
      <w:pPr>
        <w:pStyle w:val="ListBullet"/>
        <w:spacing w:after="40"/>
      </w:pPr>
      <w:r>
        <w:rPr>
          <w:sz w:val="22"/>
        </w:rPr>
        <w:t>Veiligheidsstatistiek (VCA, ISO 45001).</w:t>
      </w:r>
    </w:p>
    <w:p>
      <w:pPr>
        <w:pStyle w:val="ListBullet"/>
        <w:spacing w:after="40"/>
      </w:pPr>
      <w:r>
        <w:rPr>
          <w:sz w:val="22"/>
        </w:rPr>
        <w:t>Steeds vaker: CO2-prestatieladder-niveau bij aanbesteders die EMVI gebruiken.</w:t>
      </w:r>
    </w:p>
    <w:p>
      <w:pPr>
        <w:pStyle w:val="ListBullet"/>
        <w:spacing w:after="40"/>
      </w:pPr>
      <w:r>
        <w:rPr>
          <w:sz w:val="22"/>
        </w:rPr>
        <w:t>Snelheid van uitvoering (Albertkanaal-cluster moest in 2,5 jaar af — uitzonderlijk strak).</w:t>
      </w:r>
    </w:p>
    <w:p>
      <w:pPr>
        <w:spacing w:before="160" w:after="40"/>
      </w:pPr>
      <w:r>
        <w:rPr>
          <w:b/>
          <w:color w:val="B8A06E"/>
          <w:sz w:val="23"/>
        </w:rPr>
        <w:t>Wat de klant nog niet vraagt, maar binnen 24 maanden wel zal vragen</w:t>
      </w:r>
    </w:p>
    <w:p>
      <w:pPr>
        <w:spacing w:after="120"/>
        <w:ind w:left="340"/>
      </w:pPr>
      <w:r>
        <w:rPr>
          <w:i/>
          <w:color w:val="555555"/>
          <w:sz w:val="21"/>
        </w:rPr>
        <w:t>Een aanbesteder van De Vlaamse Waterweg zal vanaf 2027-2028 in steeds meer bestekken een open vraag stellen: 'leveren jullie een gestructureerd digital twin-dossier op bij oplevering, klaar voor opname in ons asset management systeem?' Wie 'ja' kan antwoorden, wint zonder prijsconcurrentie.</w:t>
      </w:r>
    </w:p>
    <w:p>
      <w:pPr>
        <w:spacing w:before="280" w:after="80"/>
      </w:pPr>
      <w:r>
        <w:rPr>
          <w:b/>
          <w:color w:val="1B2A49"/>
          <w:sz w:val="28"/>
        </w:rPr>
        <w:t>C2.  Company  —  HYE als ondernemingsapparaat</w:t>
      </w:r>
    </w:p>
    <w:p>
      <w:pPr>
        <w:spacing w:before="160" w:after="40"/>
      </w:pPr>
      <w:r>
        <w:rPr>
          <w:b/>
          <w:color w:val="B8A06E"/>
          <w:sz w:val="23"/>
        </w:rPr>
        <w:t>Materieel en assets</w:t>
      </w:r>
    </w:p>
    <w:p>
      <w:pPr>
        <w:pStyle w:val="ListBullet"/>
        <w:spacing w:after="40"/>
      </w:pPr>
      <w:r>
        <w:rPr>
          <w:sz w:val="22"/>
        </w:rPr>
        <w:t>Eigen machinepark (drijfkranen, hijswerk, betonfabriek-toegang via Sterhoek).</w:t>
      </w:r>
    </w:p>
    <w:p>
      <w:pPr>
        <w:pStyle w:val="ListBullet"/>
        <w:spacing w:after="40"/>
      </w:pPr>
      <w:r>
        <w:rPr>
          <w:sz w:val="22"/>
        </w:rPr>
        <w:t>Eigen staalatelier — kritieke factor voor sluisdeuren en bruggen.</w:t>
      </w:r>
    </w:p>
    <w:p>
      <w:pPr>
        <w:pStyle w:val="ListBullet"/>
        <w:spacing w:after="40"/>
      </w:pPr>
      <w:r>
        <w:rPr>
          <w:sz w:val="22"/>
        </w:rPr>
        <w:t>Strategische kade-toegang aan de Schelde.</w:t>
      </w:r>
    </w:p>
    <w:p>
      <w:pPr>
        <w:pStyle w:val="ListBullet"/>
        <w:spacing w:after="40"/>
      </w:pPr>
      <w:r>
        <w:rPr>
          <w:sz w:val="22"/>
        </w:rPr>
        <w:t>Eigen milieuafdeling — sanering in eigen huis, niet uitbesteed.</w:t>
      </w:r>
    </w:p>
    <w:p>
      <w:pPr>
        <w:spacing w:before="160" w:after="40"/>
      </w:pPr>
      <w:r>
        <w:rPr>
          <w:b/>
          <w:color w:val="B8A06E"/>
          <w:sz w:val="23"/>
        </w:rPr>
        <w:t>Skills en mensen</w:t>
      </w:r>
    </w:p>
    <w:p>
      <w:pPr>
        <w:pStyle w:val="ListBullet"/>
        <w:spacing w:after="40"/>
      </w:pPr>
      <w:r>
        <w:rPr>
          <w:sz w:val="22"/>
        </w:rPr>
        <w:t>160+ medewerkers — projectmanagers, civiel ingenieurs, lassers, kraanmachinisten, milieukundigen.</w:t>
      </w:r>
    </w:p>
    <w:p>
      <w:pPr>
        <w:pStyle w:val="ListBullet"/>
        <w:spacing w:after="40"/>
      </w:pPr>
      <w:r>
        <w:rPr>
          <w:sz w:val="22"/>
        </w:rPr>
        <w:t>Cultuur: korte lijnen, persoonlijke aanpak, 'we doen wat we zeggen'.</w:t>
      </w:r>
    </w:p>
    <w:p>
      <w:pPr>
        <w:pStyle w:val="ListBullet"/>
        <w:spacing w:after="40"/>
      </w:pPr>
      <w:r>
        <w:rPr>
          <w:sz w:val="22"/>
        </w:rPr>
        <w:t>Doorstroom binnen H2O Group — vier MBO-leiders (Vernimmen, T'Joens, Van den Houte, Van de Water) bouwen samen verder.</w:t>
      </w:r>
    </w:p>
    <w:p>
      <w:pPr>
        <w:spacing w:before="160" w:after="40"/>
      </w:pPr>
      <w:r>
        <w:rPr>
          <w:b/>
          <w:color w:val="B8A06E"/>
          <w:sz w:val="23"/>
        </w:rPr>
        <w:t>Wat HYE structureel niét heeft (vandaag)</w:t>
      </w:r>
    </w:p>
    <w:p>
      <w:pPr>
        <w:pStyle w:val="ListBullet"/>
        <w:spacing w:after="40"/>
      </w:pPr>
      <w:r>
        <w:rPr>
          <w:sz w:val="22"/>
        </w:rPr>
        <w:t>Een interne data science- of AI-cel.</w:t>
      </w:r>
    </w:p>
    <w:p>
      <w:pPr>
        <w:pStyle w:val="ListBullet"/>
        <w:spacing w:after="40"/>
      </w:pPr>
      <w:r>
        <w:rPr>
          <w:sz w:val="22"/>
        </w:rPr>
        <w:t>Een softwareproduct dat na het project bij de klant blijft draaien.</w:t>
      </w:r>
    </w:p>
    <w:p>
      <w:pPr>
        <w:pStyle w:val="ListBullet"/>
        <w:spacing w:after="40"/>
      </w:pPr>
      <w:r>
        <w:rPr>
          <w:sz w:val="22"/>
        </w:rPr>
        <w:t>Een asset-management of operate-contract over assets ná oplevering.</w:t>
      </w:r>
    </w:p>
    <w:p>
      <w:pPr>
        <w:pStyle w:val="ListBullet"/>
        <w:spacing w:after="40"/>
      </w:pPr>
      <w:r>
        <w:rPr>
          <w:sz w:val="22"/>
        </w:rPr>
        <w:t>Internationale aanwezigheid buiten Vlaanderen-Nederland.</w:t>
      </w:r>
    </w:p>
    <w:p>
      <w:pPr>
        <w:pStyle w:val="ListBullet"/>
        <w:spacing w:after="40"/>
      </w:pPr>
      <w:r>
        <w:rPr>
          <w:sz w:val="22"/>
        </w:rPr>
        <w:t>Eigen sensor-/IoT-merk of -lijn.</w:t>
      </w:r>
    </w:p>
    <w:p>
      <w:pPr>
        <w:spacing w:before="160" w:after="40"/>
      </w:pPr>
      <w:r>
        <w:rPr>
          <w:b/>
          <w:color w:val="B8A06E"/>
          <w:sz w:val="23"/>
        </w:rPr>
        <w:t>Financiële footprint</w:t>
      </w:r>
    </w:p>
    <w:p>
      <w:pPr>
        <w:pStyle w:val="ListBullet"/>
        <w:spacing w:after="40"/>
      </w:pPr>
      <w:r>
        <w:rPr>
          <w:sz w:val="22"/>
        </w:rPr>
        <w:t>Omzet ~€74,7 miljoen (recent boekjaar).</w:t>
      </w:r>
    </w:p>
    <w:p>
      <w:pPr>
        <w:pStyle w:val="ListBullet"/>
        <w:spacing w:after="40"/>
      </w:pPr>
      <w:r>
        <w:rPr>
          <w:sz w:val="22"/>
        </w:rPr>
        <w:t>Onderdeel van H2O Invest balans (BE0722.545.377), private holding.</w:t>
      </w:r>
    </w:p>
    <w:p>
      <w:pPr>
        <w:pStyle w:val="ListBullet"/>
        <w:spacing w:after="40"/>
      </w:pPr>
      <w:r>
        <w:rPr>
          <w:sz w:val="22"/>
        </w:rPr>
        <w:t>Cluster-omzet (Albertkanaal cluster 2 €107M) creëert grote omzetpieken die schommelen tussen jaren — kwetsbaarheid voor lege orderboeken na cluster-afsluiting.</w:t>
      </w:r>
    </w:p>
    <w:p>
      <w:pPr>
        <w:spacing w:before="280" w:after="80"/>
      </w:pPr>
      <w:r>
        <w:rPr>
          <w:b/>
          <w:color w:val="1B2A49"/>
          <w:sz w:val="28"/>
        </w:rPr>
        <w:t>C3.  Category  —  de Vlaamse waterbouw-categorie</w:t>
      </w:r>
    </w:p>
    <w:p>
      <w:pPr>
        <w:spacing w:before="160" w:after="40"/>
      </w:pPr>
      <w:r>
        <w:rPr>
          <w:b/>
          <w:color w:val="B8A06E"/>
          <w:sz w:val="23"/>
        </w:rPr>
        <w:t>Definitie van de markt</w:t>
      </w:r>
    </w:p>
    <w:p>
      <w:pPr>
        <w:spacing w:after="120" w:line="288" w:lineRule="auto"/>
      </w:pPr>
      <w:r>
        <w:rPr>
          <w:b w:val="0"/>
          <w:i w:val="0"/>
          <w:sz w:val="22"/>
        </w:rPr>
        <w:t>Waterbouw in België is een sub-categorie binnen 'Burgerlijke bouwkunde, utiliteitsbouw, wegen- en waterbouw' (Trends Top sector waarin HYE 37e staat). De totale markt: ongeveer 30 spelers die meedingen op grote PPS-projecten, vier dominante (Besix, Jan De Nul, DEME, CFE) en een middenveld waarin HYE met €74M zit.</w:t>
      </w:r>
    </w:p>
    <w:p>
      <w:pPr>
        <w:spacing w:before="160" w:after="40"/>
      </w:pPr>
      <w:r>
        <w:rPr>
          <w:b/>
          <w:color w:val="B8A06E"/>
          <w:sz w:val="23"/>
        </w:rPr>
        <w:t>Categorie-codes — wat 'iedereen doet' in deze markt</w:t>
      </w:r>
    </w:p>
    <w:p>
      <w:pPr>
        <w:pStyle w:val="ListBullet"/>
        <w:spacing w:after="40"/>
      </w:pPr>
      <w:r>
        <w:rPr>
          <w:sz w:val="22"/>
        </w:rPr>
        <w:t>Klassieke aannemerstaal: 'expertise', 'kwaliteit', 'veiligheid'.</w:t>
      </w:r>
    </w:p>
    <w:p>
      <w:pPr>
        <w:pStyle w:val="ListBullet"/>
        <w:spacing w:after="40"/>
      </w:pPr>
      <w:r>
        <w:rPr>
          <w:sz w:val="22"/>
        </w:rPr>
        <w:t>Foto's van kranen, dronebeelden van werven, ingenieurs met helm.</w:t>
      </w:r>
    </w:p>
    <w:p>
      <w:pPr>
        <w:pStyle w:val="ListBullet"/>
        <w:spacing w:after="40"/>
      </w:pPr>
      <w:r>
        <w:rPr>
          <w:sz w:val="22"/>
        </w:rPr>
        <w:t>Cases per groot project, alleen na oplevering.</w:t>
      </w:r>
    </w:p>
    <w:p>
      <w:pPr>
        <w:pStyle w:val="ListBullet"/>
        <w:spacing w:after="40"/>
      </w:pPr>
      <w:r>
        <w:rPr>
          <w:sz w:val="22"/>
        </w:rPr>
        <w:t>Duurzaamheidsverhaal via CO2-prestatieladder en circulariteit.</w:t>
      </w:r>
    </w:p>
    <w:p>
      <w:pPr>
        <w:pStyle w:val="ListBullet"/>
        <w:spacing w:after="40"/>
      </w:pPr>
      <w:r>
        <w:rPr>
          <w:sz w:val="22"/>
        </w:rPr>
        <w:t>Stille zichtbaarheid: men is groot, niet luid.</w:t>
      </w:r>
    </w:p>
    <w:p>
      <w:pPr>
        <w:spacing w:before="160" w:after="40"/>
      </w:pPr>
      <w:r>
        <w:rPr>
          <w:b/>
          <w:color w:val="B8A06E"/>
          <w:sz w:val="23"/>
        </w:rPr>
        <w:t>Wat in de categorie net begint te bewegen</w:t>
      </w:r>
    </w:p>
    <w:p>
      <w:pPr>
        <w:pStyle w:val="ListBullet"/>
        <w:spacing w:after="40"/>
      </w:pPr>
      <w:r>
        <w:rPr>
          <w:sz w:val="22"/>
        </w:rPr>
        <w:t>BIM is de norm geworden in bestek (4D-5D BIM steeds vaker gevraagd).</w:t>
      </w:r>
    </w:p>
    <w:p>
      <w:pPr>
        <w:pStyle w:val="ListBullet"/>
        <w:spacing w:after="40"/>
      </w:pPr>
      <w:r>
        <w:rPr>
          <w:sz w:val="22"/>
        </w:rPr>
        <w:t>Modulaire bouw van bruggen (geprefabriceerde elementen).</w:t>
      </w:r>
    </w:p>
    <w:p>
      <w:pPr>
        <w:pStyle w:val="ListBullet"/>
        <w:spacing w:after="40"/>
      </w:pPr>
      <w:r>
        <w:rPr>
          <w:sz w:val="22"/>
        </w:rPr>
        <w:t>Circulair beton met gerecycleerd granulaat (waar Bremcon perfect bij past).</w:t>
      </w:r>
    </w:p>
    <w:p>
      <w:pPr>
        <w:pStyle w:val="ListBullet"/>
        <w:spacing w:after="40"/>
      </w:pPr>
      <w:r>
        <w:rPr>
          <w:sz w:val="22"/>
        </w:rPr>
        <w:t>Digital twin-pilots bij Rijkswaterstaat en Vlaamse Waterweg.</w:t>
      </w:r>
    </w:p>
    <w:p>
      <w:pPr>
        <w:pStyle w:val="ListBullet"/>
        <w:spacing w:after="40"/>
      </w:pPr>
      <w:r>
        <w:rPr>
          <w:sz w:val="22"/>
        </w:rPr>
        <w:t>AI-gebaseerde defectdetectie via grondradar en computer vision.</w:t>
      </w:r>
    </w:p>
    <w:p>
      <w:pPr>
        <w:spacing w:before="160" w:after="40"/>
      </w:pPr>
      <w:r>
        <w:rPr>
          <w:b/>
          <w:color w:val="B8A06E"/>
          <w:sz w:val="23"/>
        </w:rPr>
        <w:t>Wat de categorie nog NIET doet — het gat</w:t>
      </w:r>
    </w:p>
    <w:p>
      <w:pPr>
        <w:pStyle w:val="ListBullet"/>
        <w:spacing w:after="40"/>
      </w:pPr>
      <w:r>
        <w:rPr>
          <w:sz w:val="22"/>
        </w:rPr>
        <w:t>Geen enkele Vlaamse waterbouwer presenteert zich als 'data-leverancier voor de levensduur van het asset'.</w:t>
      </w:r>
    </w:p>
    <w:p>
      <w:pPr>
        <w:pStyle w:val="ListBullet"/>
        <w:spacing w:after="40"/>
      </w:pPr>
      <w:r>
        <w:rPr>
          <w:sz w:val="22"/>
        </w:rPr>
        <w:t>Geen enkele waterbouwer biedt operate-contracten op brug-, sluis- of kade-niveau aan.</w:t>
      </w:r>
    </w:p>
    <w:p>
      <w:pPr>
        <w:pStyle w:val="ListBullet"/>
        <w:spacing w:after="40"/>
      </w:pPr>
      <w:r>
        <w:rPr>
          <w:sz w:val="22"/>
        </w:rPr>
        <w:t>Geen waterbouwer claimt 'predictive maintenance as a service' op assets die ze zelf bouwen.</w:t>
      </w:r>
    </w:p>
    <w:p>
      <w:pPr>
        <w:pStyle w:val="ListBullet"/>
        <w:spacing w:after="40"/>
      </w:pPr>
      <w:r>
        <w:rPr>
          <w:sz w:val="22"/>
        </w:rPr>
        <w:t>Niemand heeft een productmerk voor monitoring (zoals Siemens MindSphere of GE Predix in andere sectoren).</w:t>
      </w:r>
    </w:p>
    <w:p>
      <w:pPr>
        <w:spacing w:before="280" w:after="80"/>
      </w:pPr>
      <w:r>
        <w:rPr>
          <w:b/>
          <w:color w:val="1B2A49"/>
          <w:sz w:val="28"/>
        </w:rPr>
        <w:t>C4.  Culture  —  de tijdsgeest waarin HYE opereert</w:t>
      </w:r>
    </w:p>
    <w:p>
      <w:pPr>
        <w:spacing w:before="160" w:after="40"/>
      </w:pPr>
      <w:r>
        <w:rPr>
          <w:b/>
          <w:color w:val="B8A06E"/>
          <w:sz w:val="23"/>
        </w:rPr>
        <w:t>Maatschappelijke krachten op de waterbouwmarkt</w:t>
      </w:r>
    </w:p>
    <w:p>
      <w:pPr>
        <w:pStyle w:val="ListBullet"/>
        <w:spacing w:after="40"/>
      </w:pPr>
      <w:r>
        <w:rPr>
          <w:sz w:val="22"/>
        </w:rPr>
        <w:t>Klimaatadaptatie als beleidsdwang — Sigma-plan, Maas-aanpassingen, kustverdediging. Publieke investeringen stijgen.</w:t>
      </w:r>
    </w:p>
    <w:p>
      <w:pPr>
        <w:pStyle w:val="ListBullet"/>
        <w:spacing w:after="40"/>
      </w:pPr>
      <w:r>
        <w:rPr>
          <w:sz w:val="22"/>
        </w:rPr>
        <w:t>Vergrijzing van infrastructuur — 60% van Vlaamse sluizen ouder dan 50 jaar; renovatiegolf onvermijdelijk.</w:t>
      </w:r>
    </w:p>
    <w:p>
      <w:pPr>
        <w:pStyle w:val="ListBullet"/>
        <w:spacing w:after="40"/>
      </w:pPr>
      <w:r>
        <w:rPr>
          <w:sz w:val="22"/>
        </w:rPr>
        <w:t>Stikstofcrisis (NL) en stikstofvermindering (VL) raken bouw-uitvoering structureel.</w:t>
      </w:r>
    </w:p>
    <w:p>
      <w:pPr>
        <w:pStyle w:val="ListBullet"/>
        <w:spacing w:after="40"/>
      </w:pPr>
      <w:r>
        <w:rPr>
          <w:sz w:val="22"/>
        </w:rPr>
        <w:t>Personeelskrapte op lassers, betonijzervlechters, civiel ingenieurs — werkgeversmerk telt steeds zwaarder.</w:t>
      </w:r>
    </w:p>
    <w:p>
      <w:pPr>
        <w:pStyle w:val="ListBullet"/>
        <w:spacing w:after="40"/>
      </w:pPr>
      <w:r>
        <w:rPr>
          <w:sz w:val="22"/>
        </w:rPr>
        <w:t>EU-Green-Deal-druk op materiaalimpact (cement, staal) creëert vraag naar circulair en biobased beton.</w:t>
      </w:r>
    </w:p>
    <w:p>
      <w:pPr>
        <w:spacing w:before="160" w:after="40"/>
      </w:pPr>
      <w:r>
        <w:rPr>
          <w:b/>
          <w:color w:val="B8A06E"/>
          <w:sz w:val="23"/>
        </w:rPr>
        <w:t>Technologische krachten</w:t>
      </w:r>
    </w:p>
    <w:p>
      <w:pPr>
        <w:pStyle w:val="ListBullet"/>
        <w:spacing w:after="40"/>
      </w:pPr>
      <w:r>
        <w:rPr>
          <w:sz w:val="22"/>
        </w:rPr>
        <w:t>AI-doorbraak 2023-2026 — generatieve modellen + visie + IoT-fusie.</w:t>
      </w:r>
    </w:p>
    <w:p>
      <w:pPr>
        <w:pStyle w:val="ListBullet"/>
        <w:spacing w:after="40"/>
      </w:pPr>
      <w:r>
        <w:rPr>
          <w:sz w:val="22"/>
        </w:rPr>
        <w:t>Digital twin standaarden (ISO/IEC 30141, ISO 23247) volwassen geworden.</w:t>
      </w:r>
    </w:p>
    <w:p>
      <w:pPr>
        <w:pStyle w:val="ListBullet"/>
        <w:spacing w:after="40"/>
      </w:pPr>
      <w:r>
        <w:rPr>
          <w:sz w:val="22"/>
        </w:rPr>
        <w:t>Sensorprijzen gehalveerd in 5 jaar — een brug-sensor pakket dat €50.000 kostte in 2021 kost €18.000 in 2026.</w:t>
      </w:r>
    </w:p>
    <w:p>
      <w:pPr>
        <w:pStyle w:val="ListBullet"/>
        <w:spacing w:after="40"/>
      </w:pPr>
      <w:r>
        <w:rPr>
          <w:sz w:val="22"/>
        </w:rPr>
        <w:t>Connectiviteit (5G-private, LoRa) waterzijde nu betaalbaar.</w:t>
      </w:r>
    </w:p>
    <w:p>
      <w:pPr>
        <w:pStyle w:val="ListBullet"/>
        <w:spacing w:after="40"/>
      </w:pPr>
      <w:r>
        <w:rPr>
          <w:sz w:val="22"/>
        </w:rPr>
        <w:t>Cloud-eigenaren (Microsoft, AWS) bieden infrastructure-twin platformen — niet meer iets dat een aannemer zelf moet bouwen.</w:t>
      </w:r>
    </w:p>
    <w:p>
      <w:pPr>
        <w:spacing w:before="160" w:after="40"/>
      </w:pPr>
      <w:r>
        <w:rPr>
          <w:b/>
          <w:color w:val="B8A06E"/>
          <w:sz w:val="23"/>
        </w:rPr>
        <w:t>Wat de doelklant (publieke opdrachtgever) cultureel doormaakt</w:t>
      </w:r>
    </w:p>
    <w:p>
      <w:pPr>
        <w:spacing w:after="120"/>
        <w:ind w:left="340"/>
      </w:pPr>
      <w:r>
        <w:rPr>
          <w:i/>
          <w:color w:val="555555"/>
          <w:sz w:val="21"/>
        </w:rPr>
        <w:t>De aanbestedende dienst van 2026 zit klem tussen 'meer infrastructuur leveren met hetzelfde budget' en 'minder mensen om die infrastructuur te beheren'. Voor hen is 'digital twin' geen mooi-om-te-hebben, maar een vluchtweg uit een onbestuurbare onderhoudslast.</w:t>
      </w:r>
    </w:p>
    <w:p>
      <w:pPr>
        <w:spacing w:before="280" w:after="80"/>
      </w:pPr>
      <w:r>
        <w:rPr>
          <w:b/>
          <w:color w:val="1B2A49"/>
          <w:sz w:val="28"/>
        </w:rPr>
        <w:t>Consumer × Culture intersectie  —  de drie spanningen</w:t>
      </w:r>
    </w:p>
    <w:p>
      <w:pPr>
        <w:spacing w:after="120" w:line="288" w:lineRule="auto"/>
      </w:pPr>
      <w:r>
        <w:rPr>
          <w:b w:val="0"/>
          <w:i w:val="0"/>
          <w:sz w:val="22"/>
        </w:rPr>
        <w:t>Hier zit het hart van V9: op het kruispunt van klantbehoefte en tijdsgeest ontstaan exploiteerbare spanningen. Voor HYE detecteer ik er drie.</w:t>
      </w:r>
    </w:p>
    <w:p>
      <w:pPr>
        <w:spacing w:before="160" w:after="40"/>
      </w:pPr>
      <w:r>
        <w:rPr>
          <w:b/>
          <w:color w:val="B8A06E"/>
          <w:sz w:val="23"/>
        </w:rPr>
        <w:t>Spanning 1.  De aanbesteder wil 50 jaar zekerheid, de markt biedt 5 jaar garantie</w:t>
      </w:r>
    </w:p>
    <w:p>
      <w:pPr>
        <w:spacing w:after="120" w:line="288" w:lineRule="auto"/>
      </w:pPr>
      <w:r>
        <w:rPr>
          <w:b w:val="0"/>
          <w:i w:val="0"/>
          <w:sz w:val="22"/>
        </w:rPr>
        <w:t>De Vlaamse Waterweg moet een brug 50-100 jaar beheren met steeds minder ingenieurs in eigen huis. De aannemer bouwt, geeft 5 jaar garantie, en verdwijnt. Wie de 50 jaar tussen oplevering en sloop met data kan vullen, neemt een rol over die de overheid niet meer kan vervullen. HYE staat dichter bij dat antwoord dan haar concurrenten.</w:t>
      </w:r>
    </w:p>
    <w:p>
      <w:pPr>
        <w:spacing w:before="160" w:after="40"/>
      </w:pPr>
      <w:r>
        <w:rPr>
          <w:b/>
          <w:color w:val="B8A06E"/>
          <w:sz w:val="23"/>
        </w:rPr>
        <w:t>Spanning 2.  Publieke opdrachtgevers eisen duurzaamheid, maar gunnen op prijs</w:t>
      </w:r>
    </w:p>
    <w:p>
      <w:pPr>
        <w:spacing w:after="120" w:line="288" w:lineRule="auto"/>
      </w:pPr>
      <w:r>
        <w:rPr>
          <w:b w:val="0"/>
          <w:i w:val="0"/>
          <w:sz w:val="22"/>
        </w:rPr>
        <w:t>Officieel staat CO2-prestatie hoog. Officieel telt circulair beton. In de gunning weegt prijs nog altijd 60-80%. HYE investeert in CO2-Niveau 3 en krijgt daar nu zelden de prijspremie voor. Spanning: als HYE de CO2-data realtime aan de twin koppelt en aanleverbaar maakt voor EMVI-rapportering aan de klant, schuift de score op.</w:t>
      </w:r>
    </w:p>
    <w:p>
      <w:pPr>
        <w:spacing w:before="160" w:after="40"/>
      </w:pPr>
      <w:r>
        <w:rPr>
          <w:b/>
          <w:color w:val="B8A06E"/>
          <w:sz w:val="23"/>
        </w:rPr>
        <w:t>Spanning 3.  De arbeidsmarkt vraagt 'zin', de waterbouw biedt 'specht in beton'</w:t>
      </w:r>
    </w:p>
    <w:p>
      <w:pPr>
        <w:spacing w:after="120" w:line="288" w:lineRule="auto"/>
      </w:pPr>
      <w:r>
        <w:rPr>
          <w:b w:val="0"/>
          <w:i w:val="0"/>
          <w:sz w:val="22"/>
        </w:rPr>
        <w:t>Een 25-jarige ingenieur die afgestudeerd is in 2025 wil 'iets doen met AI en klimaat'. Bij HYE krijgt die persoon vandaag: 'kom hier kademuren rekenen'. Het werk is essentieel maar wordt niet zo verteld. Wie HYE in 2027 herbenoemt als 'klimaat-resilientie infrastructuur ingenieurs met digitale tweelingen' wint de talentbattle die haar concurrenten verliezen.</w:t>
      </w:r>
    </w:p>
    <w:p>
      <w:pPr>
        <w:spacing w:before="280" w:after="80"/>
      </w:pPr>
      <w:r>
        <w:rPr>
          <w:b/>
          <w:color w:val="1B2A49"/>
          <w:sz w:val="28"/>
        </w:rPr>
        <w:t>Tension mapping  —  welke spanning is de meest bruikbare?</w:t>
      </w:r>
    </w:p>
    <w:p>
      <w:pPr>
        <w:ind w:left="227"/>
      </w:pPr>
      <w:r>
        <w:rPr>
          <w:b/>
          <w:color w:val="B8A06E"/>
          <w:sz w:val="21"/>
        </w:rPr>
        <w:t xml:space="preserve">MIJN KEUZE:  </w:t>
      </w:r>
      <w:r>
        <w:rPr>
          <w:color w:val="555555"/>
          <w:sz w:val="21"/>
        </w:rPr>
        <w:t>Spanning 1 (50-jaar-zekerheid versus 5-jaar-garantie) is de hefboom. Spanning 2 versterkt het verhaal financieel. Spanning 3 lost het talentprobleem op dat het verhaal überhaupt mogelijk maakt. Bouw één positionering die alle drie tegelijk raakt: HYE als bouwer-en-bewaker van klimaatzekere infrastructuur, voor de volle levensduur, met digitale tweelingen die de overheid ontlasten.</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 in het gesprek morgen.</w:t>
      </w:r>
    </w:p>
    <w:p>
      <w:pPr>
        <w:spacing w:after="120"/>
      </w:pPr>
      <w:r>
        <w:rPr>
          <w:b/>
          <w:color w:val="1B2A49"/>
        </w:rPr>
        <w:t xml:space="preserve">1.  </w:t>
      </w:r>
      <w:r>
        <w:rPr>
          <w:sz w:val="22"/>
        </w:rPr>
        <w:t>Welke van de drie spanningen voelt het management van HYE zélf het sterkst — en welke voelen ze nog niet? Want het antwoord op 'welke voelen ze niet' is precies waar de externe consulent voor wordt betaald.</w:t>
      </w:r>
    </w:p>
    <w:p>
      <w:pPr>
        <w:spacing w:after="120"/>
      </w:pPr>
      <w:r>
        <w:rPr>
          <w:b/>
          <w:color w:val="1B2A49"/>
        </w:rPr>
        <w:t xml:space="preserve">2.  </w:t>
      </w:r>
      <w:r>
        <w:rPr>
          <w:sz w:val="22"/>
        </w:rPr>
        <w:t>Als HYE de spanning 'aanbesteder wil 50 jaar, markt biedt 5' kapitaliseert, wie betaalt dan de eerste verlieslatende digital twin-pilot om het verhaal hard te maken? Vrijwilligerswerk wint geen contracten — investering wel.</w:t>
      </w:r>
    </w:p>
    <w:p>
      <w:pPr>
        <w:spacing w:after="120"/>
      </w:pPr>
      <w:r>
        <w:rPr>
          <w:b/>
          <w:color w:val="1B2A49"/>
        </w:rPr>
        <w:t xml:space="preserve">3.  </w:t>
      </w:r>
      <w:r>
        <w:rPr>
          <w:sz w:val="22"/>
        </w:rPr>
        <w:t>Hoe oud is de oudste asset die HYE ooit gebouwd heeft en die nog steeds functioneel is? Want dáár ligt de eerste real-world digital twin — een retrofit op een 60 jaar oude HYE-brug die nu nog dienst doet, zou een bewijsstuk zijn dat geen concurrent kan namaken.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V9 4C-analyse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