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left"/>
      </w:pPr>
      <w:r>
        <w:rPr>
          <w:b/>
          <w:color w:val="B8A06E"/>
          <w:sz w:val="22"/>
        </w:rPr>
        <w:t>DOSSIER 06 · V12 · INNOVATIESCAN · HYE NV  ·  AI-FOCUS</w:t>
      </w:r>
    </w:p>
    <w:p>
      <w:r>
        <w:rPr>
          <w:b/>
          <w:color w:val="1B2A49"/>
          <w:sz w:val="60"/>
        </w:rPr>
        <w:t>Het gat in de markt voor HYE</w:t>
      </w:r>
    </w:p>
    <w:p>
      <w:r>
        <w:rPr>
          <w:i/>
          <w:color w:val="555555"/>
          <w:sz w:val="26"/>
        </w:rPr>
        <w:t>Vijftien strategische lenzen toegepast op één vraag: waar liggen voor HYE de ongebruikte commerciële openingen, met expliciete focus op AI- en digital-twin-toepassingen.</w:t>
      </w:r>
    </w:p>
    <w:p>
      <w:pPr>
        <w:pBdr>
          <w:bottom w:val="single" w:sz="6" w:space="1" w:color="B8A06E"/>
        </w:pBdr>
      </w:pPr>
    </w:p>
    <w:p/>
    <w:p>
      <w:pPr>
        <w:spacing w:before="280" w:after="80"/>
      </w:pPr>
      <w:r>
        <w:rPr>
          <w:b/>
          <w:color w:val="1B2A49"/>
          <w:sz w:val="28"/>
        </w:rPr>
        <w:t>Methodologie</w:t>
      </w:r>
    </w:p>
    <w:p>
      <w:pPr>
        <w:spacing w:after="120" w:line="288" w:lineRule="auto"/>
      </w:pPr>
      <w:r>
        <w:rPr>
          <w:b w:val="0"/>
          <w:i w:val="0"/>
          <w:sz w:val="22"/>
        </w:rPr>
        <w:t>Vijftien lenzen scannen elk een ander type marktgat. Niet alle vijftien leveren bruikbare openingen — dat is normaal. Ik markeer per lens GROEN (sterk gat met AI-hefboom), GEEL (potentieel, maar in onderzoek), of GRIJS (geen exploiteerbaar gat vandaag).</w:t>
      </w:r>
    </w:p>
    <w:p>
      <w:pPr>
        <w:spacing w:before="280" w:after="80"/>
      </w:pPr>
      <w:r>
        <w:rPr>
          <w:b/>
          <w:color w:val="1B2A49"/>
          <w:sz w:val="28"/>
        </w:rPr>
        <w:t>Lens 1.  Jobs-to-be-done  —  GROEN</w:t>
      </w:r>
    </w:p>
    <w:p>
      <w:pPr>
        <w:spacing w:after="120" w:line="288" w:lineRule="auto"/>
      </w:pPr>
      <w:r>
        <w:rPr>
          <w:b w:val="0"/>
          <w:i w:val="0"/>
          <w:sz w:val="22"/>
        </w:rPr>
        <w:t>Wat huurt een aanbesteder een aannemer in om voor hem op te lossen? Niet 'bouw een brug'. Wel: 'geef me een werkende brug die mijn opvolger over 30 jaar nog steeds begrijpt'. Vandaag krijgt de aanbesteder de brug, niet het begrip. AI-hefboom: een LLM-aangedreven 'asset companion' die op vraag uitlegt wat er onder welke deklaag zit, wanneer welke onderhoudsbeurt nodig is, welke materiaalcertificaten in dossier zitten. Concrete dienst die HYE als eerste in Vlaanderen kan leveren.</w:t>
      </w:r>
    </w:p>
    <w:p>
      <w:pPr>
        <w:spacing w:before="280" w:after="80"/>
      </w:pPr>
      <w:r>
        <w:rPr>
          <w:b/>
          <w:color w:val="1B2A49"/>
          <w:sz w:val="28"/>
        </w:rPr>
        <w:t>Lens 2.  Niet-klanten  —  GROEN</w:t>
      </w:r>
    </w:p>
    <w:p>
      <w:pPr>
        <w:spacing w:after="120" w:line="288" w:lineRule="auto"/>
      </w:pPr>
      <w:r>
        <w:rPr>
          <w:b w:val="0"/>
          <w:i w:val="0"/>
          <w:sz w:val="22"/>
        </w:rPr>
        <w:t>Drie ringen van niet-klanten (Kim-Mauborgne):</w:t>
      </w:r>
    </w:p>
    <w:p>
      <w:pPr>
        <w:pStyle w:val="ListBullet"/>
        <w:spacing w:after="40"/>
      </w:pPr>
      <w:r>
        <w:rPr>
          <w:sz w:val="22"/>
        </w:rPr>
        <w:t>Niet-klanten van de eerste ring: kleine havens en lokale besturen die te klein zijn voor PPS — ze bestellen vandaag niets bij HYE. Door modulaire kade-bouw + standaard-twin in pakketvorm aan te bieden, worden zij koopbaar.</w:t>
      </w:r>
    </w:p>
    <w:p>
      <w:pPr>
        <w:pStyle w:val="ListBullet"/>
        <w:spacing w:after="40"/>
      </w:pPr>
      <w:r>
        <w:rPr>
          <w:sz w:val="22"/>
        </w:rPr>
        <w:t>Niet-klanten van de tweede ring: industriële spelers die liever zelf bouwen of een Nederlandse aannemer halen. Door asset-management bij oplevering te bundelen, draaien zij om.</w:t>
      </w:r>
    </w:p>
    <w:p>
      <w:pPr>
        <w:pStyle w:val="ListBullet"/>
        <w:spacing w:after="40"/>
      </w:pPr>
      <w:r>
        <w:rPr>
          <w:sz w:val="22"/>
        </w:rPr>
        <w:t>Niet-klanten van de derde ring: vastgoedontwikkelaars aan het water (Tour &amp; Taxis, Antwerpse Schelde-kaaien, Gent Oude Dokken). HYE bouwt vandaag voor hen niets — terwijl ze nochtans dezelfde kademuren nodig hebben.</w:t>
      </w:r>
    </w:p>
    <w:p>
      <w:pPr>
        <w:spacing w:before="280" w:after="80"/>
      </w:pPr>
      <w:r>
        <w:rPr>
          <w:b/>
          <w:color w:val="1B2A49"/>
          <w:sz w:val="28"/>
        </w:rPr>
        <w:t>Lens 3.  Onderbenutte assets  —  GROEN</w:t>
      </w:r>
    </w:p>
    <w:p>
      <w:pPr>
        <w:spacing w:after="120" w:line="288" w:lineRule="auto"/>
      </w:pPr>
      <w:r>
        <w:rPr>
          <w:b w:val="0"/>
          <w:i w:val="0"/>
          <w:sz w:val="22"/>
        </w:rPr>
        <w:t>Welke assets bezit HYE die vandaag te weinig waarde generen?</w:t>
      </w:r>
    </w:p>
    <w:p>
      <w:pPr>
        <w:pStyle w:val="ListBullet"/>
        <w:spacing w:after="40"/>
      </w:pPr>
      <w:r>
        <w:rPr>
          <w:sz w:val="22"/>
        </w:rPr>
        <w:t>Het bouwdossier-archief — elk afgewerkt project genereert tientallen GB aan BIM-modellen, betonproeven, lasdossiers, geotechniek. Vandaag ligt het in archieven. Het is een goudmijn voor digital twin-retrofits op bestaande assets — HYE zou voor 100+ eigen-gebouwde kunstwerken een twin kunnen aanleveren waar niemand anders dat kan.</w:t>
      </w:r>
    </w:p>
    <w:p>
      <w:pPr>
        <w:pStyle w:val="ListBullet"/>
        <w:spacing w:after="40"/>
      </w:pPr>
      <w:r>
        <w:rPr>
          <w:sz w:val="22"/>
        </w:rPr>
        <w:t>De Schelde-kade-locatie — vandaag aanrijhaven voor materieel. Kan ook 'Twin Lab' worden, demo-omgeving waar opdrachtgevers digitaal-fysieke interactie ervaren.</w:t>
      </w:r>
    </w:p>
    <w:p>
      <w:pPr>
        <w:pStyle w:val="ListBullet"/>
        <w:spacing w:after="40"/>
      </w:pPr>
      <w:r>
        <w:rPr>
          <w:sz w:val="22"/>
        </w:rPr>
        <w:t>De CO2-Prestatieladder-data — verzameld voor compliance, niet gepubliceerd als marketing-asset.</w:t>
      </w:r>
    </w:p>
    <w:p>
      <w:pPr>
        <w:spacing w:before="280" w:after="80"/>
      </w:pPr>
      <w:r>
        <w:rPr>
          <w:b/>
          <w:color w:val="1B2A49"/>
          <w:sz w:val="28"/>
        </w:rPr>
        <w:t>Lens 4.  Voor-en-na-momenten  —  GEEL</w:t>
      </w:r>
    </w:p>
    <w:p>
      <w:pPr>
        <w:spacing w:after="120" w:line="288" w:lineRule="auto"/>
      </w:pPr>
      <w:r>
        <w:rPr>
          <w:b w:val="0"/>
          <w:i w:val="0"/>
          <w:sz w:val="22"/>
        </w:rPr>
        <w:t>Welke momenten vóór de bouw of ná de bouw zijn vandaag onbespeeld?</w:t>
      </w:r>
    </w:p>
    <w:p>
      <w:pPr>
        <w:pStyle w:val="ListBullet"/>
        <w:spacing w:after="40"/>
      </w:pPr>
      <w:r>
        <w:rPr>
          <w:sz w:val="22"/>
        </w:rPr>
        <w:t>Vóór de bouw: design-fase consultancy. HYE wordt vaak pas in de uitvoeringsfase betrokken. Een 'feasibility-twin'-dienst (twin van het ontwerp vóór bouw) is een nieuwe omzetbron.</w:t>
      </w:r>
    </w:p>
    <w:p>
      <w:pPr>
        <w:pStyle w:val="ListBullet"/>
        <w:spacing w:after="40"/>
      </w:pPr>
      <w:r>
        <w:rPr>
          <w:sz w:val="22"/>
        </w:rPr>
        <w:t>Na de bouw: 50-jarige beheercontracten. Vandaag stoppen contracten na 5 jaar garantie. Een 25-jarig onderhoudsabonnement met SLA is een blue ocean.</w:t>
      </w:r>
    </w:p>
    <w:p>
      <w:pPr>
        <w:spacing w:before="280" w:after="80"/>
      </w:pPr>
      <w:r>
        <w:rPr>
          <w:b/>
          <w:color w:val="1B2A49"/>
          <w:sz w:val="28"/>
        </w:rPr>
        <w:t>Lens 5.  Verborgen segmenten  —  GROEN</w:t>
      </w:r>
    </w:p>
    <w:p>
      <w:pPr>
        <w:spacing w:after="120" w:line="288" w:lineRule="auto"/>
      </w:pPr>
      <w:r>
        <w:rPr>
          <w:b w:val="0"/>
          <w:i w:val="0"/>
          <w:sz w:val="22"/>
        </w:rPr>
        <w:t>Welk segment koopt vandaag niet bij HYE maar zou wel moeten?</w:t>
      </w:r>
    </w:p>
    <w:p>
      <w:pPr>
        <w:pStyle w:val="ListBullet"/>
        <w:spacing w:after="40"/>
      </w:pPr>
      <w:r>
        <w:rPr>
          <w:sz w:val="22"/>
        </w:rPr>
        <w:t>Verzekeraars van publieke infrastructuur — zij wegen risico's van assets in. Predictive-twin-data verlagen schade-incident-kans, dus verzekeringspremie. HYE kan deze data als dienst aan verzekeraars verkopen.</w:t>
      </w:r>
    </w:p>
    <w:p>
      <w:pPr>
        <w:pStyle w:val="ListBullet"/>
        <w:spacing w:after="40"/>
      </w:pPr>
      <w:r>
        <w:rPr>
          <w:sz w:val="22"/>
        </w:rPr>
        <w:t>Asset-management-fondsen die infrastructure-as-an-asset-class verhandelen — zij willen risico-monitoring-data over levensduur.</w:t>
      </w:r>
    </w:p>
    <w:p>
      <w:pPr>
        <w:pStyle w:val="ListBullet"/>
        <w:spacing w:after="40"/>
      </w:pPr>
      <w:r>
        <w:rPr>
          <w:sz w:val="22"/>
        </w:rPr>
        <w:t>Eindgebruikers (binnenscheepvaart-federaties) die belang hebben bij vlot werkende sluizen — denkbaar als sponsor van twin-monitoring-dashboards.</w:t>
      </w:r>
    </w:p>
    <w:p>
      <w:pPr>
        <w:spacing w:before="280" w:after="80"/>
      </w:pPr>
      <w:r>
        <w:rPr>
          <w:b/>
          <w:color w:val="1B2A49"/>
          <w:sz w:val="28"/>
        </w:rPr>
        <w:t>Lens 6.  Cross-industrie-spiegeling  —  GROEN</w:t>
      </w:r>
    </w:p>
    <w:p>
      <w:pPr>
        <w:spacing w:after="120" w:line="288" w:lineRule="auto"/>
      </w:pPr>
      <w:r>
        <w:rPr>
          <w:b w:val="0"/>
          <w:i w:val="0"/>
          <w:sz w:val="22"/>
        </w:rPr>
        <w:t>Wat doen andere industrieën al dat HYE kan overnemen?</w:t>
      </w:r>
    </w:p>
    <w:p>
      <w:pPr>
        <w:pStyle w:val="ListBullet"/>
        <w:spacing w:after="40"/>
      </w:pPr>
      <w:r>
        <w:rPr>
          <w:sz w:val="22"/>
        </w:rPr>
        <w:t>Luchtvaart-MRO: predictive maintenance via vlucht-data. Vertaal naar 'cyclus-data' van een sluis (aantal versassingen, water-belasting).</w:t>
      </w:r>
    </w:p>
    <w:p>
      <w:pPr>
        <w:pStyle w:val="ListBullet"/>
        <w:spacing w:after="40"/>
      </w:pPr>
      <w:r>
        <w:rPr>
          <w:sz w:val="22"/>
        </w:rPr>
        <w:t>Offshore wind: turbines met embedded sensoren én cloud-platforms (Vestas CMS, Siemens Energy). Vertaal naar bruggen met vergelijkbare sensor-densities.</w:t>
      </w:r>
    </w:p>
    <w:p>
      <w:pPr>
        <w:pStyle w:val="ListBullet"/>
        <w:spacing w:after="40"/>
      </w:pPr>
      <w:r>
        <w:rPr>
          <w:sz w:val="22"/>
        </w:rPr>
        <w:t>Auto-OEMs: digital twin van een productiefabriek (BMW met NVIDIA Omniverse). Vertaal naar twin van een werf-fase.</w:t>
      </w:r>
    </w:p>
    <w:p>
      <w:pPr>
        <w:pStyle w:val="ListBullet"/>
        <w:spacing w:after="40"/>
      </w:pPr>
      <w:r>
        <w:rPr>
          <w:sz w:val="22"/>
        </w:rPr>
        <w:t>Smart Building (Siemens, Schneider): twin van een gebouw plus AI-energieoptimalisatie. Vertaal naar twin van een sluis-complex.</w:t>
      </w:r>
    </w:p>
    <w:p>
      <w:pPr>
        <w:spacing w:before="280" w:after="80"/>
      </w:pPr>
      <w:r>
        <w:rPr>
          <w:b/>
          <w:color w:val="1B2A49"/>
          <w:sz w:val="28"/>
        </w:rPr>
        <w:t>Lens 7.  Regelgevende verschuivingen  —  GROEN</w:t>
      </w:r>
    </w:p>
    <w:p>
      <w:pPr>
        <w:spacing w:after="120" w:line="288" w:lineRule="auto"/>
      </w:pPr>
      <w:r>
        <w:rPr>
          <w:b w:val="0"/>
          <w:i w:val="0"/>
          <w:sz w:val="22"/>
        </w:rPr>
        <w:t>Wat verandert in regelgeving en creëert kansen?</w:t>
      </w:r>
    </w:p>
    <w:p>
      <w:pPr>
        <w:pStyle w:val="ListBullet"/>
        <w:spacing w:after="40"/>
      </w:pPr>
      <w:r>
        <w:rPr>
          <w:sz w:val="22"/>
        </w:rPr>
        <w:t>CSRD (Corporate Sustainability Reporting Directive) — aanbesteders moeten vanaf 2025 ESG-data van toeleveranciers rapporteren. Wie ESG-data structureert per project, verkoopt makkelijker.</w:t>
      </w:r>
    </w:p>
    <w:p>
      <w:pPr>
        <w:pStyle w:val="ListBullet"/>
        <w:spacing w:after="40"/>
      </w:pPr>
      <w:r>
        <w:rPr>
          <w:sz w:val="22"/>
        </w:rPr>
        <w:t>EU Critical Raw Materials Act — materiaal-paspoorten worden verplicht. HYE moet dit toch leveren, kan het ook als data-asset commercialiseren.</w:t>
      </w:r>
    </w:p>
    <w:p>
      <w:pPr>
        <w:pStyle w:val="ListBullet"/>
        <w:spacing w:after="40"/>
      </w:pPr>
      <w:r>
        <w:rPr>
          <w:sz w:val="22"/>
        </w:rPr>
        <w:t>Vlaamse betonketen-circulariteitsbeleid — vraag naar gerecycleerd granulaat stijgt (Bremcon-as).</w:t>
      </w:r>
    </w:p>
    <w:p>
      <w:pPr>
        <w:pStyle w:val="ListBullet"/>
        <w:spacing w:after="40"/>
      </w:pPr>
      <w:r>
        <w:rPr>
          <w:sz w:val="22"/>
        </w:rPr>
        <w:t>EU AI Act — risico-classificatie van AI-systemen in kritieke infrastructuur. HYE moet hier voor zijn, dat schrikt sommige concurrenten af.</w:t>
      </w:r>
    </w:p>
    <w:p>
      <w:pPr>
        <w:spacing w:before="280" w:after="80"/>
      </w:pPr>
      <w:r>
        <w:rPr>
          <w:b/>
          <w:color w:val="1B2A49"/>
          <w:sz w:val="28"/>
        </w:rPr>
        <w:t>Lens 8.  Technologische sprongen  —  GROEN</w:t>
      </w:r>
    </w:p>
    <w:p>
      <w:pPr>
        <w:spacing w:after="120" w:line="288" w:lineRule="auto"/>
      </w:pPr>
      <w:r>
        <w:rPr>
          <w:b w:val="0"/>
          <w:i w:val="0"/>
          <w:sz w:val="22"/>
        </w:rPr>
        <w:t>Welke technologische sprongen zijn rijp voor adoptie in 2026-2028?</w:t>
      </w:r>
    </w:p>
    <w:p>
      <w:pPr>
        <w:pStyle w:val="ListBullet"/>
        <w:spacing w:after="40"/>
      </w:pPr>
      <w:r>
        <w:rPr>
          <w:sz w:val="22"/>
        </w:rPr>
        <w:t>Generatieve AI voor BIM-extractie — modellen die uit oude tekeningen automatisch een 3D-model genereren. Sleutel om 100+ historische HYE-assets te 'twinnen'.</w:t>
      </w:r>
    </w:p>
    <w:p>
      <w:pPr>
        <w:pStyle w:val="ListBullet"/>
        <w:spacing w:after="40"/>
      </w:pPr>
      <w:r>
        <w:rPr>
          <w:sz w:val="22"/>
        </w:rPr>
        <w:t>Foundation models voor sensor-data (TimeGPT, Lag-Llama) — voorspelling van scheurvorming uit trillings-data.</w:t>
      </w:r>
    </w:p>
    <w:p>
      <w:pPr>
        <w:pStyle w:val="ListBullet"/>
        <w:spacing w:after="40"/>
      </w:pPr>
      <w:r>
        <w:rPr>
          <w:sz w:val="22"/>
        </w:rPr>
        <w:t>Computer vision op drone-beelden — automatische scheur- en corrosie-detectie. Bestaande pilots in Nederland.</w:t>
      </w:r>
    </w:p>
    <w:p>
      <w:pPr>
        <w:pStyle w:val="ListBullet"/>
        <w:spacing w:after="40"/>
      </w:pPr>
      <w:r>
        <w:rPr>
          <w:sz w:val="22"/>
        </w:rPr>
        <w:t>Edge-AI op sensoren — analyse aan de bron, minder data-transport.</w:t>
      </w:r>
    </w:p>
    <w:p>
      <w:pPr>
        <w:pStyle w:val="ListBullet"/>
        <w:spacing w:after="40"/>
      </w:pPr>
      <w:r>
        <w:rPr>
          <w:sz w:val="22"/>
        </w:rPr>
        <w:t>5G-private + LoRaWAN op werven — connectiviteit-kost gedaald 60% sinds 2022.</w:t>
      </w:r>
    </w:p>
    <w:p>
      <w:pPr>
        <w:spacing w:before="280" w:after="80"/>
      </w:pPr>
      <w:r>
        <w:rPr>
          <w:b/>
          <w:color w:val="1B2A49"/>
          <w:sz w:val="28"/>
        </w:rPr>
        <w:t>Lens 9.  Pricing-modellen  —  GEEL</w:t>
      </w:r>
    </w:p>
    <w:p>
      <w:pPr>
        <w:spacing w:after="120" w:line="288" w:lineRule="auto"/>
      </w:pPr>
      <w:r>
        <w:rPr>
          <w:b w:val="0"/>
          <w:i w:val="0"/>
          <w:sz w:val="22"/>
        </w:rPr>
        <w:t>Welk pricing-model gebruikt niemand vandaag?</w:t>
      </w:r>
    </w:p>
    <w:p>
      <w:pPr>
        <w:pStyle w:val="ListBullet"/>
        <w:spacing w:after="40"/>
      </w:pPr>
      <w:r>
        <w:rPr>
          <w:sz w:val="22"/>
        </w:rPr>
        <w:t>Outcome-based pricing — betaling op basis van uptime/beschikbaarheid van het kunstwerk in plaats van bouwprijs.</w:t>
      </w:r>
    </w:p>
    <w:p>
      <w:pPr>
        <w:pStyle w:val="ListBullet"/>
        <w:spacing w:after="40"/>
      </w:pPr>
      <w:r>
        <w:rPr>
          <w:sz w:val="22"/>
        </w:rPr>
        <w:t>Data-abonnement na oplevering — €X per maand per asset voor monitoring + service.</w:t>
      </w:r>
    </w:p>
    <w:p>
      <w:pPr>
        <w:pStyle w:val="ListBullet"/>
        <w:spacing w:after="40"/>
      </w:pPr>
      <w:r>
        <w:rPr>
          <w:sz w:val="22"/>
        </w:rPr>
        <w:t>Risk-sharing-contract — HYE deelt mee in besparingen op onderhoud die door predictive-aanpak ontstaan.</w:t>
      </w:r>
    </w:p>
    <w:p>
      <w:pPr>
        <w:pStyle w:val="ListBullet"/>
        <w:spacing w:after="40"/>
      </w:pPr>
      <w:r>
        <w:rPr>
          <w:sz w:val="22"/>
        </w:rPr>
        <w:t>Modulaire prijs-pakketten ('twin lite' / 'twin pro') voor verschillende klantgroottes.</w:t>
      </w:r>
    </w:p>
    <w:p>
      <w:pPr>
        <w:spacing w:before="280" w:after="80"/>
      </w:pPr>
      <w:r>
        <w:rPr>
          <w:b/>
          <w:color w:val="1B2A49"/>
          <w:sz w:val="28"/>
        </w:rPr>
        <w:t>Lens 10.  Geo-uitbreiding  —  GEEL</w:t>
      </w:r>
    </w:p>
    <w:p>
      <w:pPr>
        <w:spacing w:after="120" w:line="288" w:lineRule="auto"/>
      </w:pPr>
      <w:r>
        <w:rPr>
          <w:b w:val="0"/>
          <w:i w:val="0"/>
          <w:sz w:val="22"/>
        </w:rPr>
        <w:t>Waar kan HYE territoriaal uitbreiden?</w:t>
      </w:r>
    </w:p>
    <w:p>
      <w:pPr>
        <w:pStyle w:val="ListBullet"/>
        <w:spacing w:after="40"/>
      </w:pPr>
      <w:r>
        <w:rPr>
          <w:sz w:val="22"/>
        </w:rPr>
        <w:t>Nederlandse markt — Rijkswaterstaat heeft vergelijkbare digital twin-ambitie. Bestaande relaties.</w:t>
      </w:r>
    </w:p>
    <w:p>
      <w:pPr>
        <w:pStyle w:val="ListBullet"/>
        <w:spacing w:after="40"/>
      </w:pPr>
      <w:r>
        <w:rPr>
          <w:sz w:val="22"/>
        </w:rPr>
        <w:t>Noord-Frankrijk (Hauts-de-France) — Seine-Schelde-verbinding, kanaal Seine-Nord-Europe project van €5 miljard.</w:t>
      </w:r>
    </w:p>
    <w:p>
      <w:pPr>
        <w:pStyle w:val="ListBullet"/>
        <w:spacing w:after="40"/>
      </w:pPr>
      <w:r>
        <w:rPr>
          <w:sz w:val="22"/>
        </w:rPr>
        <w:t>Duitsland (NRW) — kanaalrenovatie Rhein-Herne, Mittellandkanal.</w:t>
      </w:r>
    </w:p>
    <w:p>
      <w:pPr>
        <w:spacing w:before="280" w:after="80"/>
      </w:pPr>
      <w:r>
        <w:rPr>
          <w:b/>
          <w:color w:val="1B2A49"/>
          <w:sz w:val="28"/>
        </w:rPr>
        <w:t>Lens 11.  Eco-systeem-rol  —  GROEN</w:t>
      </w:r>
    </w:p>
    <w:p>
      <w:pPr>
        <w:spacing w:after="120" w:line="288" w:lineRule="auto"/>
      </w:pPr>
      <w:r>
        <w:rPr>
          <w:b w:val="0"/>
          <w:i w:val="0"/>
          <w:sz w:val="22"/>
        </w:rPr>
        <w:t>Kan HYE een platform-rol opnemen?</w:t>
      </w:r>
    </w:p>
    <w:p>
      <w:pPr>
        <w:pStyle w:val="ListBullet"/>
        <w:spacing w:after="40"/>
      </w:pPr>
      <w:r>
        <w:rPr>
          <w:sz w:val="22"/>
        </w:rPr>
        <w:t>HYE kan 'tweeling-aggregator' worden — verzamelen van twin-data van eigen én concurrenten-assets binnen één regio-platform voor De Vlaamse Waterweg.</w:t>
      </w:r>
    </w:p>
    <w:p>
      <w:pPr>
        <w:pStyle w:val="ListBullet"/>
        <w:spacing w:after="40"/>
      </w:pPr>
      <w:r>
        <w:rPr>
          <w:sz w:val="22"/>
        </w:rPr>
        <w:t>H2O Group als ecosysteem: HYE bouwt + Bremcon levert bodem-data + Navitec vaartuig-data + Argex materiaal-data = één geïntegreerd ecosysteem-bod.</w:t>
      </w:r>
    </w:p>
    <w:p>
      <w:pPr>
        <w:pStyle w:val="ListBullet"/>
        <w:spacing w:after="40"/>
      </w:pPr>
      <w:r>
        <w:rPr>
          <w:sz w:val="22"/>
        </w:rPr>
        <w:t>Open-data-strategie: HYE publiceert (niet-confidentiële) twin-data open, wordt referentie.</w:t>
      </w:r>
    </w:p>
    <w:p>
      <w:pPr>
        <w:spacing w:before="280" w:after="80"/>
      </w:pPr>
      <w:r>
        <w:rPr>
          <w:b/>
          <w:color w:val="1B2A49"/>
          <w:sz w:val="28"/>
        </w:rPr>
        <w:t>Lens 12.  Talent-arbitrage  —  GROEN</w:t>
      </w:r>
    </w:p>
    <w:p>
      <w:pPr>
        <w:spacing w:after="120" w:line="288" w:lineRule="auto"/>
      </w:pPr>
      <w:r>
        <w:rPr>
          <w:b w:val="0"/>
          <w:i w:val="0"/>
          <w:sz w:val="22"/>
        </w:rPr>
        <w:t>Waar zit ongebruikt talent dat HYE kan aanboren?</w:t>
      </w:r>
    </w:p>
    <w:p>
      <w:pPr>
        <w:pStyle w:val="ListBullet"/>
        <w:spacing w:after="40"/>
      </w:pPr>
      <w:r>
        <w:rPr>
          <w:sz w:val="22"/>
        </w:rPr>
        <w:t>AI- en data-engineers uit Antwerpse universiteiten (UA, ITM, AP Hogeschool) zoeken werk met maatschappelijke impact. Klimaat-infrastructuur trekt hen aan.</w:t>
      </w:r>
    </w:p>
    <w:p>
      <w:pPr>
        <w:pStyle w:val="ListBullet"/>
        <w:spacing w:after="40"/>
      </w:pPr>
      <w:r>
        <w:rPr>
          <w:sz w:val="22"/>
        </w:rPr>
        <w:t>Civiel ingenieurs die niet bij een toren-bouwer willen werken zoeken 'kleine en serieuze' werkgevers — HYE-profiel.</w:t>
      </w:r>
    </w:p>
    <w:p>
      <w:pPr>
        <w:pStyle w:val="ListBullet"/>
        <w:spacing w:after="40"/>
      </w:pPr>
      <w:r>
        <w:rPr>
          <w:sz w:val="22"/>
        </w:rPr>
        <w:t>Internationale talenten via Antwerpse haven-netwerk.</w:t>
      </w:r>
    </w:p>
    <w:p>
      <w:pPr>
        <w:pStyle w:val="ListBullet"/>
        <w:spacing w:after="40"/>
      </w:pPr>
      <w:r>
        <w:rPr>
          <w:sz w:val="22"/>
        </w:rPr>
        <w:t>Zij-instromers uit luchtvaart-MRO of offshore wind die predictive maintenance al beheersen.</w:t>
      </w:r>
    </w:p>
    <w:p>
      <w:pPr>
        <w:spacing w:before="280" w:after="80"/>
      </w:pPr>
      <w:r>
        <w:rPr>
          <w:b/>
          <w:color w:val="1B2A49"/>
          <w:sz w:val="28"/>
        </w:rPr>
        <w:t>Lens 13.  Klantsegment-rebundeling  —  GEEL</w:t>
      </w:r>
    </w:p>
    <w:p>
      <w:pPr>
        <w:spacing w:after="120" w:line="288" w:lineRule="auto"/>
      </w:pPr>
      <w:r>
        <w:rPr>
          <w:b w:val="0"/>
          <w:i w:val="0"/>
          <w:sz w:val="22"/>
        </w:rPr>
        <w:t>Kunnen klanten geclusterd worden in nieuwe segmenten?</w:t>
      </w:r>
    </w:p>
    <w:p>
      <w:pPr>
        <w:pStyle w:val="ListBullet"/>
        <w:spacing w:after="40"/>
      </w:pPr>
      <w:r>
        <w:rPr>
          <w:sz w:val="22"/>
        </w:rPr>
        <w:t>Cluster 'klimaat-resilientie' — alle overheden die kuststad of laaggelegen rivier-gemeente besturen. Eén pakket-aanbod.</w:t>
      </w:r>
    </w:p>
    <w:p>
      <w:pPr>
        <w:pStyle w:val="ListBullet"/>
        <w:spacing w:after="40"/>
      </w:pPr>
      <w:r>
        <w:rPr>
          <w:sz w:val="22"/>
        </w:rPr>
        <w:t>Cluster 'historisch erfgoed-water' — Brugge, Gent, oude kanalen. Specifieke twin-aanpak die monumentale waarde respecteert.</w:t>
      </w:r>
    </w:p>
    <w:p>
      <w:pPr>
        <w:pStyle w:val="ListBullet"/>
        <w:spacing w:after="40"/>
      </w:pPr>
      <w:r>
        <w:rPr>
          <w:sz w:val="22"/>
        </w:rPr>
        <w:t>Cluster 'industriële water-as' — kade-eigenaars in petrochemie. Eén ESCO-achtige formule.</w:t>
      </w:r>
    </w:p>
    <w:p>
      <w:pPr>
        <w:spacing w:before="280" w:after="80"/>
      </w:pPr>
      <w:r>
        <w:rPr>
          <w:b/>
          <w:color w:val="1B2A49"/>
          <w:sz w:val="28"/>
        </w:rPr>
        <w:t>Lens 14.  Wat klanten 'fixen' met workarounds  —  GROEN</w:t>
      </w:r>
    </w:p>
    <w:p>
      <w:pPr>
        <w:spacing w:after="120" w:line="288" w:lineRule="auto"/>
      </w:pPr>
      <w:r>
        <w:rPr>
          <w:b w:val="0"/>
          <w:i w:val="0"/>
          <w:sz w:val="22"/>
        </w:rPr>
        <w:t>Welke workarounds gebruiken klanten omdat het 'echte' product niet bestaat?</w:t>
      </w:r>
    </w:p>
    <w:p>
      <w:pPr>
        <w:pStyle w:val="ListBullet"/>
        <w:spacing w:after="40"/>
      </w:pPr>
      <w:r>
        <w:rPr>
          <w:sz w:val="22"/>
        </w:rPr>
        <w:t>De Vlaamse Waterweg laat ingenieursbureaus losse rapporten schrijven om de toestand van assets in te schatten. Workaround: PDF's en Excels.</w:t>
      </w:r>
    </w:p>
    <w:p>
      <w:pPr>
        <w:pStyle w:val="ListBullet"/>
        <w:spacing w:after="40"/>
      </w:pPr>
      <w:r>
        <w:rPr>
          <w:sz w:val="22"/>
        </w:rPr>
        <w:t>Inspecties gebeuren met visuele controle door menselijke teams in kleine, oude vaartuigjes.</w:t>
      </w:r>
    </w:p>
    <w:p>
      <w:pPr>
        <w:pStyle w:val="ListBullet"/>
        <w:spacing w:after="40"/>
      </w:pPr>
      <w:r>
        <w:rPr>
          <w:sz w:val="22"/>
        </w:rPr>
        <w:t>Asset management gebeurt in versnipperde Excel-bestanden.</w:t>
      </w:r>
    </w:p>
    <w:p>
      <w:pPr>
        <w:pStyle w:val="ListBullet"/>
        <w:spacing w:after="40"/>
      </w:pPr>
      <w:r>
        <w:rPr>
          <w:sz w:val="22"/>
        </w:rPr>
        <w:t>Bij elk groot voorval (sluis defect, brug-aanvaring) wordt opnieuw vanaf nul informatie verzameld.</w:t>
      </w:r>
    </w:p>
    <w:p>
      <w:pPr>
        <w:pStyle w:val="ListBullet"/>
        <w:spacing w:after="40"/>
      </w:pPr>
      <w:r>
        <w:rPr>
          <w:sz w:val="22"/>
        </w:rPr>
        <w:t>Workaround = bewijs dat het probleem bestaat. Twin = het product dat de workarounds vervangt.</w:t>
      </w:r>
    </w:p>
    <w:p>
      <w:pPr>
        <w:spacing w:before="280" w:after="80"/>
      </w:pPr>
      <w:r>
        <w:rPr>
          <w:b/>
          <w:color w:val="1B2A49"/>
          <w:sz w:val="28"/>
        </w:rPr>
        <w:t>Lens 15.  Vergeten use-case  —  GROEN</w:t>
      </w:r>
    </w:p>
    <w:p>
      <w:pPr>
        <w:spacing w:after="120" w:line="288" w:lineRule="auto"/>
      </w:pPr>
      <w:r>
        <w:rPr>
          <w:b w:val="0"/>
          <w:i w:val="0"/>
          <w:sz w:val="22"/>
        </w:rPr>
        <w:t>Welke use-case wordt vandaag domweg niet geleverd?</w:t>
      </w:r>
    </w:p>
    <w:p>
      <w:pPr>
        <w:pStyle w:val="ListBullet"/>
        <w:spacing w:after="40"/>
      </w:pPr>
      <w:r>
        <w:rPr>
          <w:sz w:val="22"/>
        </w:rPr>
        <w:t>Calamiteit-simulatie: wat gebeurt er als sluis X uitvalt in december tijdens piekverkeer? Een twin laat dat doorrekenen vóór de calamiteit zich voordoet. Concurrenten doen dit niet.</w:t>
      </w:r>
    </w:p>
    <w:p>
      <w:pPr>
        <w:pStyle w:val="ListBullet"/>
        <w:spacing w:after="40"/>
      </w:pPr>
      <w:r>
        <w:rPr>
          <w:sz w:val="22"/>
        </w:rPr>
        <w:t>Climate-stresstest: wat gebeurt er met kademuur X bij rivierwaterstand +120cm in 2060? Vandaag een ad-hoc studie. Met twin een geautomatiseerd answer.</w:t>
      </w:r>
    </w:p>
    <w:p>
      <w:pPr>
        <w:pStyle w:val="ListBullet"/>
        <w:spacing w:after="40"/>
      </w:pPr>
      <w:r>
        <w:rPr>
          <w:sz w:val="22"/>
        </w:rPr>
        <w:t>Sustainability-attest per asset: een gepersonaliseerd EPC-equivalent voor publieke water-infrastructuur.</w:t>
      </w:r>
    </w:p>
    <w:p>
      <w:pPr>
        <w:spacing w:before="280" w:after="80"/>
      </w:pPr>
      <w:r>
        <w:rPr>
          <w:b/>
          <w:color w:val="1B2A49"/>
          <w:sz w:val="28"/>
        </w:rPr>
        <w:t>Synthese  —  het scherpste 'gat in de markt'</w:t>
      </w:r>
    </w:p>
    <w:p>
      <w:pPr>
        <w:ind w:left="227"/>
      </w:pPr>
      <w:r>
        <w:rPr>
          <w:b/>
          <w:color w:val="B8A06E"/>
          <w:sz w:val="21"/>
        </w:rPr>
        <w:t xml:space="preserve">DE OPENING:  </w:t>
      </w:r>
      <w:r>
        <w:rPr>
          <w:color w:val="555555"/>
          <w:sz w:val="21"/>
        </w:rPr>
        <w:t>Vijftien lenzen wijzen naar dezelfde geografie van een gat: een markt voor 'lifelong asset intelligence' rond zware waterinfrastructuur in Vlaanderen en Nederland. Geen enkele Vlaamse waterbouwer claimt dit, alle technologie is rijp, de aanbestedende dienst staat te wachten. HYE bezit drie unieke voorwaarden om dit gat te bezetten: 100 jaar legacy-data, een lopende digitalisering (Docufly), en moederbedrijf H2O Group dat bodem-, water- en staaldata kan koppelen.</w:t>
      </w:r>
    </w:p>
    <w:p>
      <w:pPr>
        <w:spacing w:before="160" w:after="40"/>
      </w:pPr>
      <w:r>
        <w:rPr>
          <w:b/>
          <w:color w:val="B8A06E"/>
          <w:sz w:val="23"/>
        </w:rPr>
        <w:t>Drie eerste commerciële stappen (12-18 maanden)</w:t>
      </w:r>
    </w:p>
    <w:p>
      <w:pPr>
        <w:pStyle w:val="ListNumber"/>
        <w:spacing w:after="40"/>
      </w:pPr>
      <w:r>
        <w:rPr>
          <w:sz w:val="22"/>
        </w:rPr>
        <w:t>Eén twin-pilot op één bestaand HYE-asset, bekostigd door HYE-zelf (verlies-investering). Doel: bewijsstuk creëren.</w:t>
      </w:r>
    </w:p>
    <w:p>
      <w:pPr>
        <w:pStyle w:val="ListNumber"/>
        <w:spacing w:after="40"/>
      </w:pPr>
      <w:r>
        <w:rPr>
          <w:sz w:val="22"/>
        </w:rPr>
        <w:t>Eén partnership met een twin-platform-leverancier (Bentley iTwin, Autodesk Tandem of Hexagon Smart Digital Reality). Niet zelf uitvinden.</w:t>
      </w:r>
    </w:p>
    <w:p>
      <w:pPr>
        <w:pStyle w:val="ListNumber"/>
        <w:spacing w:after="40"/>
      </w:pPr>
      <w:r>
        <w:rPr>
          <w:sz w:val="22"/>
        </w:rPr>
        <w:t>Eén externe perslancering op de eeuwgrens — niet 'HYE bestaat 100 jaar', wel 'HYE 1929-2029: van bouwen naar bewaken'.</w:t>
      </w:r>
    </w:p>
    <w:p>
      <w:pPr>
        <w:spacing w:before="280" w:after="80"/>
      </w:pPr>
      <w:r>
        <w:rPr>
          <w:b/>
          <w:color w:val="1B2A49"/>
          <w:sz w:val="28"/>
        </w:rPr>
        <w:t>Drie vergeten vragen</w:t>
      </w:r>
    </w:p>
    <w:p>
      <w:pPr>
        <w:spacing w:after="120" w:line="288" w:lineRule="auto"/>
      </w:pPr>
      <w:r>
        <w:rPr>
          <w:b w:val="0"/>
          <w:i/>
          <w:sz w:val="22"/>
        </w:rPr>
        <w:t>Vragen die in dit dossier niet (genoeg) gesteld werden, en die het verschil maken in het gesprek morgen.</w:t>
      </w:r>
    </w:p>
    <w:p>
      <w:pPr>
        <w:spacing w:after="120"/>
      </w:pPr>
      <w:r>
        <w:rPr>
          <w:b/>
          <w:color w:val="1B2A49"/>
        </w:rPr>
        <w:t xml:space="preserve">1.  </w:t>
      </w:r>
      <w:r>
        <w:rPr>
          <w:sz w:val="22"/>
        </w:rPr>
        <w:t>Wie van het management van HYE staat 's avonds met een lijst van vijftien innovatie-lenzen op een keukentafel — en wie zegt 'we doen het stap voor stap zoals we altijd doen'? Want innovatie-scans worden niet uitgevoerd door bedrijven, maar door personen binnen bedrijven.</w:t>
      </w:r>
    </w:p>
    <w:p>
      <w:pPr>
        <w:spacing w:after="120"/>
      </w:pPr>
      <w:r>
        <w:rPr>
          <w:b/>
          <w:color w:val="1B2A49"/>
        </w:rPr>
        <w:t xml:space="preserve">2.  </w:t>
      </w:r>
      <w:r>
        <w:rPr>
          <w:sz w:val="22"/>
        </w:rPr>
        <w:t>Wat is de meest waarschijnlijke onderschatting die HYE vandaag maakt over AI? Mijn gok: 'we bouwen beton, AI is voor anderen'. Wat als HYE in 2027 ontdekt dat een Nederlandse start-up (bv. Sobolt, Sensingbee, of een Rijkswaterstaat-spin-off) reeds twin-contracten verwerft die anders HYE-werk waren?</w:t>
      </w:r>
    </w:p>
    <w:p>
      <w:pPr>
        <w:spacing w:after="120"/>
      </w:pPr>
      <w:r>
        <w:rPr>
          <w:b/>
          <w:color w:val="1B2A49"/>
        </w:rPr>
        <w:t xml:space="preserve">3.  </w:t>
      </w:r>
      <w:r>
        <w:rPr>
          <w:sz w:val="22"/>
        </w:rPr>
        <w:t>Hoeveel kost het HYE in verloren omzet om vijf jaar te wachten met de innovatie-beweging? Schatting: een verwacht aandeel van 8 à 12% van de €200M+ De Vlaamse Waterweg-investeringspijp betekent €15-25 miljoen aan gemiste contracten als de beweging niet vóór 2027 start. Dat is concreet genoeg om in het bestuur te leggen.</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555555"/>
        <w:sz w:val="18"/>
      </w:rPr>
      <w:t>Brainwolves · Peter Hoogland · 27 mei 2026 · V12 Innovatiescan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