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b/>
          <w:color w:val="B8A06E"/>
          <w:sz w:val="22"/>
        </w:rPr>
        <w:t>DOSSIER 08 · V10 · MULTI-FRAMEWORK · H2O GROUP</w:t>
      </w:r>
    </w:p>
    <w:p>
      <w:r>
        <w:rPr>
          <w:b/>
          <w:color w:val="1B2A49"/>
          <w:sz w:val="60"/>
        </w:rPr>
        <w:t>H2O Group door 17 frameworks heen</w:t>
      </w:r>
    </w:p>
    <w:p>
      <w:r>
        <w:rPr>
          <w:i/>
          <w:color w:val="555555"/>
          <w:sz w:val="26"/>
        </w:rPr>
        <w:t>Multi-framework synthese: elk model voegt één invalshoek toe, samen schetsen ze het strategische profiel dat geen enkele analyse alleen kan tonen.</w:t>
      </w:r>
    </w:p>
    <w:p>
      <w:pPr>
        <w:pBdr>
          <w:bottom w:val="single" w:sz="6" w:space="1" w:color="B8A06E"/>
        </w:pBdr>
      </w:pPr>
    </w:p>
    <w:p/>
    <w:p>
      <w:pPr>
        <w:spacing w:before="280" w:after="80"/>
      </w:pPr>
      <w:r>
        <w:rPr>
          <w:b/>
          <w:color w:val="1B2A49"/>
          <w:sz w:val="28"/>
        </w:rPr>
        <w:t>Vooraf</w:t>
      </w:r>
    </w:p>
    <w:p>
      <w:pPr>
        <w:spacing w:after="120" w:line="288" w:lineRule="auto"/>
      </w:pPr>
      <w:r>
        <w:rPr>
          <w:b w:val="0"/>
          <w:i w:val="0"/>
          <w:sz w:val="22"/>
        </w:rPr>
        <w:t>V10 stapelt zeventien strategische, gedragswetenschappelijke en marketingframeworks op één case. Doel: voorkomen dat één lens alle conclusies bepaalt. Sommige frameworks leveren scherpe inzichten, andere bevestigen wat al bekend is. Alle zijn nuttig om blinde vlekken te vermijden.</w:t>
      </w:r>
    </w:p>
    <w:p>
      <w:pPr>
        <w:spacing w:before="280" w:after="80"/>
      </w:pPr>
      <w:r>
        <w:rPr>
          <w:b/>
          <w:color w:val="1B2A49"/>
          <w:sz w:val="28"/>
        </w:rPr>
        <w:t>1.  PESTEL  —  Macro-omgeving</w:t>
      </w:r>
    </w:p>
    <w:p>
      <w:pPr>
        <w:pStyle w:val="ListBullet"/>
        <w:spacing w:after="40"/>
      </w:pPr>
      <w:r>
        <w:rPr>
          <w:sz w:val="22"/>
        </w:rPr>
        <w:t>Politiek: stabiel Vlaams investeringsklimaat in waterinfrastructuur; Sigma-plan en Albertkanaal-investeringen tot 2032.</w:t>
      </w:r>
    </w:p>
    <w:p>
      <w:pPr>
        <w:pStyle w:val="ListBullet"/>
        <w:spacing w:after="40"/>
      </w:pPr>
      <w:r>
        <w:rPr>
          <w:sz w:val="22"/>
        </w:rPr>
        <w:t>Economisch: stijgende bouwkosten (staal +15%, beton +8%), rentestand gestabiliseerd op 3-3,5%, EU-subsidies voor klimaatadaptatie.</w:t>
      </w:r>
    </w:p>
    <w:p>
      <w:pPr>
        <w:pStyle w:val="ListBullet"/>
        <w:spacing w:after="40"/>
      </w:pPr>
      <w:r>
        <w:rPr>
          <w:sz w:val="22"/>
        </w:rPr>
        <w:t>Sociaal: vergrijzing in technische beroepen, krapte op civiel ingenieurs en lassers, immigratie-gebaseerde compensatie politiek gevoelig.</w:t>
      </w:r>
    </w:p>
    <w:p>
      <w:pPr>
        <w:pStyle w:val="ListBullet"/>
        <w:spacing w:after="40"/>
      </w:pPr>
      <w:r>
        <w:rPr>
          <w:sz w:val="22"/>
        </w:rPr>
        <w:t>Technologisch: AI, digital twin, IoT-sensoren in versnelling.</w:t>
      </w:r>
    </w:p>
    <w:p>
      <w:pPr>
        <w:pStyle w:val="ListBullet"/>
        <w:spacing w:after="40"/>
      </w:pPr>
      <w:r>
        <w:rPr>
          <w:sz w:val="22"/>
        </w:rPr>
        <w:t>Ecologisch: CSRD vanaf 2025, EU Critical Raw Materials Act, biodiversiteit-toets bij grote werven.</w:t>
      </w:r>
    </w:p>
    <w:p>
      <w:pPr>
        <w:pStyle w:val="ListBullet"/>
        <w:spacing w:after="40"/>
      </w:pPr>
      <w:r>
        <w:rPr>
          <w:sz w:val="22"/>
        </w:rPr>
        <w:t>Legaal: EU AI Act risico-classificatie, aanbestedingsrecht (EMVI-criteria), aansprakelijkheidsrecht voor langetermijn-onderhoud.</w:t>
      </w:r>
    </w:p>
    <w:p>
      <w:pPr>
        <w:spacing w:before="280" w:after="80"/>
      </w:pPr>
      <w:r>
        <w:rPr>
          <w:b/>
          <w:color w:val="1B2A49"/>
          <w:sz w:val="28"/>
        </w:rPr>
        <w:t>2.  Porter Five Forces  —  Concurrentiedruk</w:t>
      </w:r>
    </w:p>
    <w:p>
      <w:pPr>
        <w:pStyle w:val="ListBullet"/>
        <w:spacing w:after="40"/>
      </w:pPr>
      <w:r>
        <w:rPr>
          <w:sz w:val="22"/>
        </w:rPr>
        <w:t>Concurrentie: hoog — 20 spelers in Vlaamse waterbouw, dunne marges.</w:t>
      </w:r>
    </w:p>
    <w:p>
      <w:pPr>
        <w:pStyle w:val="ListBullet"/>
        <w:spacing w:after="40"/>
      </w:pPr>
      <w:r>
        <w:rPr>
          <w:sz w:val="22"/>
        </w:rPr>
        <w:t>Substituten: laag — een brug kan niet vervangen worden door iets anders; wel kan ze langer leven.</w:t>
      </w:r>
    </w:p>
    <w:p>
      <w:pPr>
        <w:pStyle w:val="ListBullet"/>
        <w:spacing w:after="40"/>
      </w:pPr>
      <w:r>
        <w:rPr>
          <w:sz w:val="22"/>
        </w:rPr>
        <w:t>Macht klanten: hoog — overheid bepaalt aanbestedingsregels.</w:t>
      </w:r>
    </w:p>
    <w:p>
      <w:pPr>
        <w:pStyle w:val="ListBullet"/>
        <w:spacing w:after="40"/>
      </w:pPr>
      <w:r>
        <w:rPr>
          <w:sz w:val="22"/>
        </w:rPr>
        <w:t>Macht leveranciers: medium — staal-, beton- en machine-leveranciers gefragmenteerd.</w:t>
      </w:r>
    </w:p>
    <w:p>
      <w:pPr>
        <w:pStyle w:val="ListBullet"/>
        <w:spacing w:after="40"/>
      </w:pPr>
      <w:r>
        <w:rPr>
          <w:sz w:val="22"/>
        </w:rPr>
        <w:t>Toetreders: medium-laag — kapitaalbarrière en certificering hoog, maar buitenlandse spelers met digitalisering-voorsprong (Vinci, Royal BAM, Strabag) kunnen toetreden.</w:t>
      </w:r>
    </w:p>
    <w:p>
      <w:pPr>
        <w:spacing w:before="280" w:after="80"/>
      </w:pPr>
      <w:r>
        <w:rPr>
          <w:b/>
          <w:color w:val="1B2A49"/>
          <w:sz w:val="28"/>
        </w:rPr>
        <w:t>3.  SWOT-T (klassiek + tijdsdimensie)</w:t>
      </w:r>
    </w:p>
    <w:p>
      <w:pPr>
        <w:pStyle w:val="ListBullet"/>
        <w:spacing w:after="40"/>
      </w:pPr>
      <w:r>
        <w:rPr>
          <w:sz w:val="22"/>
        </w:rPr>
        <w:t>Strengths: verticale supply chain (HYE-Bremcon-Argex-Navitec), Schelde-locatie, 100-jarige HYE-track record, 'genegewoon'-werkgeversmerk.</w:t>
      </w:r>
    </w:p>
    <w:p>
      <w:pPr>
        <w:pStyle w:val="ListBullet"/>
        <w:spacing w:after="40"/>
      </w:pPr>
      <w:r>
        <w:rPr>
          <w:sz w:val="22"/>
        </w:rPr>
        <w:t>Weaknesses: holding-zichtbaarheid laag, geen AI-strategie op groepsniveau, vier dochters zonder duidelijke strategische rol (MKMK Events, GC Industries, H2O House, NaviSafe).</w:t>
      </w:r>
    </w:p>
    <w:p>
      <w:pPr>
        <w:pStyle w:val="ListBullet"/>
        <w:spacing w:after="40"/>
      </w:pPr>
      <w:r>
        <w:rPr>
          <w:sz w:val="22"/>
        </w:rPr>
        <w:t>Opportunities: De Vlaamse Waterweg €200M+ digitalisering-investering, CSRD-compliance als verkoop-argument, Nederlandse markt-uitbreiding.</w:t>
      </w:r>
    </w:p>
    <w:p>
      <w:pPr>
        <w:pStyle w:val="ListBullet"/>
        <w:spacing w:after="40"/>
      </w:pPr>
      <w:r>
        <w:rPr>
          <w:sz w:val="22"/>
        </w:rPr>
        <w:t>Threats: buitenlandse strategische speler die Vlaamse acquisitie doet, talentkrapte structureel, prijserosie publieke aanbestedingen.</w:t>
      </w:r>
    </w:p>
    <w:p>
      <w:pPr>
        <w:pStyle w:val="ListBullet"/>
        <w:spacing w:after="40"/>
      </w:pPr>
      <w:r>
        <w:rPr>
          <w:sz w:val="22"/>
        </w:rPr>
        <w:t>Time: window van 24-36 maanden voor strategische beweging vóór concurrenten dezelfde kaart spelen.</w:t>
      </w:r>
    </w:p>
    <w:p>
      <w:pPr>
        <w:spacing w:before="280" w:after="80"/>
      </w:pPr>
      <w:r>
        <w:rPr>
          <w:b/>
          <w:color w:val="1B2A49"/>
          <w:sz w:val="28"/>
        </w:rPr>
        <w:t>4.  Porter Generic Strategies</w:t>
      </w:r>
    </w:p>
    <w:p>
      <w:pPr>
        <w:spacing w:after="120" w:line="288" w:lineRule="auto"/>
      </w:pPr>
      <w:r>
        <w:rPr>
          <w:b w:val="0"/>
          <w:i w:val="0"/>
          <w:sz w:val="22"/>
        </w:rPr>
        <w:t>H2O Group hangt vandaag tussen 'cost focus' (lokale schaalvoordeel via verticale integratie) en 'differentiation focus' (specialisme rond water). Geen van beide is scherp genoeg gemaakt. De groep zit in 'stuck in the middle' — Porter's risico-zone. Strategische beweging: kiezen voor differentiation focus (water-asset lifecycle leadership) of erop accepteren commodity-speler te zijn.</w:t>
      </w:r>
    </w:p>
    <w:p>
      <w:pPr>
        <w:spacing w:before="280" w:after="80"/>
      </w:pPr>
      <w:r>
        <w:rPr>
          <w:b/>
          <w:color w:val="1B2A49"/>
          <w:sz w:val="28"/>
        </w:rPr>
        <w:t>5.  Resource-Based View (RBV)</w:t>
      </w:r>
    </w:p>
    <w:p>
      <w:pPr>
        <w:spacing w:after="120" w:line="288" w:lineRule="auto"/>
      </w:pPr>
      <w:r>
        <w:rPr>
          <w:b w:val="0"/>
          <w:i w:val="0"/>
          <w:sz w:val="22"/>
        </w:rPr>
        <w:t>VRIO-toetsing op key resources:</w:t>
      </w:r>
    </w:p>
    <w:p>
      <w:pPr>
        <w:pStyle w:val="ListBullet"/>
        <w:spacing w:after="40"/>
      </w:pPr>
      <w:r>
        <w:rPr>
          <w:sz w:val="22"/>
        </w:rPr>
        <w:t>Schelde-kade-locatie: V (waardevol), R (zeldzaam), I (moeilijk te imiteren — kade-rechten), O (operationeel ingezet). VRIO-positief.</w:t>
      </w:r>
    </w:p>
    <w:p>
      <w:pPr>
        <w:pStyle w:val="ListBullet"/>
        <w:spacing w:after="40"/>
      </w:pPr>
      <w:r>
        <w:rPr>
          <w:sz w:val="22"/>
        </w:rPr>
        <w:t>100-jarig project-archief HYE: V, R, I, niet O (niet operationeel ingezet als data-asset). Verborgen waardepunt.</w:t>
      </w:r>
    </w:p>
    <w:p>
      <w:pPr>
        <w:pStyle w:val="ListBullet"/>
        <w:spacing w:after="40"/>
      </w:pPr>
      <w:r>
        <w:rPr>
          <w:sz w:val="22"/>
        </w:rPr>
        <w:t>Verticale supply chain dochters: V, R (geen andere Vlaamse holding heeft deze combinatie), I (acquisitie-historie moeilijk te repliceren), niet O (synergie niet operationeel uitgespeeld). Verborgen waardepunt.</w:t>
      </w:r>
    </w:p>
    <w:p>
      <w:pPr>
        <w:pStyle w:val="ListBullet"/>
        <w:spacing w:after="40"/>
      </w:pPr>
      <w:r>
        <w:rPr>
          <w:sz w:val="22"/>
        </w:rPr>
        <w:t>MBO-management-cohort: V, niet R (vergelijkbare profielen elders), I (chemie tussen 4 leiders), O. Gemengde score.</w:t>
      </w:r>
    </w:p>
    <w:p>
      <w:pPr>
        <w:spacing w:before="280" w:after="80"/>
      </w:pPr>
      <w:r>
        <w:rPr>
          <w:b/>
          <w:color w:val="1B2A49"/>
          <w:sz w:val="28"/>
        </w:rPr>
        <w:t>6.  Dynamic Capabilities (Teece)</w:t>
      </w:r>
    </w:p>
    <w:p>
      <w:pPr>
        <w:spacing w:after="120" w:line="288" w:lineRule="auto"/>
      </w:pPr>
      <w:r>
        <w:rPr>
          <w:b w:val="0"/>
          <w:i w:val="0"/>
          <w:sz w:val="22"/>
        </w:rPr>
        <w:t>Drie capabilities om in een snel veranderende markt te bestaan:</w:t>
      </w:r>
    </w:p>
    <w:p>
      <w:pPr>
        <w:pStyle w:val="ListBullet"/>
        <w:spacing w:after="40"/>
      </w:pPr>
      <w:r>
        <w:rPr>
          <w:sz w:val="22"/>
        </w:rPr>
        <w:t>Sensing (omgeving lezen): vandaag matig — geen vermelding van AI- of innovatie-trends op de groepswebsite. Sensing-capability ondertrouwd.</w:t>
      </w:r>
    </w:p>
    <w:p>
      <w:pPr>
        <w:pStyle w:val="ListBullet"/>
        <w:spacing w:after="40"/>
      </w:pPr>
      <w:r>
        <w:rPr>
          <w:sz w:val="22"/>
        </w:rPr>
        <w:t>Seizing (opportuniteiten omarmen): gemiddeld — Albertkanaal-clusters tijdig gewonnen, maar AI-trein niet gepakt.</w:t>
      </w:r>
    </w:p>
    <w:p>
      <w:pPr>
        <w:pStyle w:val="ListBullet"/>
        <w:spacing w:after="40"/>
      </w:pPr>
      <w:r>
        <w:rPr>
          <w:sz w:val="22"/>
        </w:rPr>
        <w:t>Transforming (organisatie aanpassen): goed bij MBO-overgang 2019, vandaag stabiel maar zonder zichtbare nieuwe transformatie.</w:t>
      </w:r>
    </w:p>
    <w:p>
      <w:pPr>
        <w:spacing w:before="280" w:after="80"/>
      </w:pPr>
      <w:r>
        <w:rPr>
          <w:b/>
          <w:color w:val="1B2A49"/>
          <w:sz w:val="28"/>
        </w:rPr>
        <w:t>7.  Blue Ocean (Kim &amp; Mauborgne)</w:t>
      </w:r>
    </w:p>
    <w:p>
      <w:pPr>
        <w:spacing w:after="120" w:line="288" w:lineRule="auto"/>
      </w:pPr>
      <w:r>
        <w:rPr>
          <w:b w:val="0"/>
          <w:i w:val="0"/>
          <w:sz w:val="22"/>
        </w:rPr>
        <w:t>Synthese-conclusie: blue ocean voor H2O Group ligt in 'water-asset-lifecycle' — bouwen + monitoren + recycleren als één geïntegreerd bod. Geen Vlaamse concurrent claimt dit. (Volledige uitwerking in dossier 05.)</w:t>
      </w:r>
    </w:p>
    <w:p>
      <w:pPr>
        <w:spacing w:before="280" w:after="80"/>
      </w:pPr>
      <w:r>
        <w:rPr>
          <w:b/>
          <w:color w:val="1B2A49"/>
          <w:sz w:val="28"/>
        </w:rPr>
        <w:t>8.  Jobs-to-be-Done (Christensen)</w:t>
      </w:r>
    </w:p>
    <w:p>
      <w:pPr>
        <w:pStyle w:val="ListBullet"/>
        <w:spacing w:after="40"/>
      </w:pPr>
      <w:r>
        <w:rPr>
          <w:sz w:val="22"/>
        </w:rPr>
        <w:t>Job van de aanbesteder: 'help mij een infrastructuur leveren die mijn opvolger over 30 jaar nog begrijpt en betaalbaar onderhoudt'.</w:t>
      </w:r>
    </w:p>
    <w:p>
      <w:pPr>
        <w:pStyle w:val="ListBullet"/>
        <w:spacing w:after="40"/>
      </w:pPr>
      <w:r>
        <w:rPr>
          <w:sz w:val="22"/>
        </w:rPr>
        <w:t>Job van de industrieel: 'minimaliseer mijn risico op productie-onderbreking door kade- of jetty-defect'.</w:t>
      </w:r>
    </w:p>
    <w:p>
      <w:pPr>
        <w:pStyle w:val="ListBullet"/>
        <w:spacing w:after="40"/>
      </w:pPr>
      <w:r>
        <w:rPr>
          <w:sz w:val="22"/>
        </w:rPr>
        <w:t>Job van de talent: 'geef me werk dat zin heeft, in een omgeving die ik vertrouw'.</w:t>
      </w:r>
    </w:p>
    <w:p>
      <w:pPr>
        <w:pStyle w:val="ListBullet"/>
        <w:spacing w:after="40"/>
      </w:pPr>
      <w:r>
        <w:rPr>
          <w:sz w:val="22"/>
        </w:rPr>
        <w:t>Job van de financier (banken, mogelijke toekomstige PE): 'toon me een asset-light upside in een asset-heavy business'.</w:t>
      </w:r>
    </w:p>
    <w:p>
      <w:pPr>
        <w:spacing w:before="280" w:after="80"/>
      </w:pPr>
      <w:r>
        <w:rPr>
          <w:b/>
          <w:color w:val="1B2A49"/>
          <w:sz w:val="28"/>
        </w:rPr>
        <w:t>9.  4P / 7P Marketing Mix</w:t>
      </w:r>
    </w:p>
    <w:p>
      <w:pPr>
        <w:pStyle w:val="ListBullet"/>
        <w:spacing w:after="40"/>
      </w:pPr>
      <w:r>
        <w:rPr>
          <w:sz w:val="22"/>
        </w:rPr>
        <w:t>Product: bouwwerken + nevendiensten (vandaag); bouwwerken + tweelingen + onderhoud-as-service (morgen).</w:t>
      </w:r>
    </w:p>
    <w:p>
      <w:pPr>
        <w:pStyle w:val="ListBullet"/>
        <w:spacing w:after="40"/>
      </w:pPr>
      <w:r>
        <w:rPr>
          <w:sz w:val="22"/>
        </w:rPr>
        <w:t>Prijs: huidig competitief aanbesteding; morgen outcome-based of abonnement.</w:t>
      </w:r>
    </w:p>
    <w:p>
      <w:pPr>
        <w:pStyle w:val="ListBullet"/>
        <w:spacing w:after="40"/>
      </w:pPr>
      <w:r>
        <w:rPr>
          <w:sz w:val="22"/>
        </w:rPr>
        <w:t>Plaats: Vlaanderen-Nederland; uitbreidingspotentieel Noord-Frankrijk, NRW.</w:t>
      </w:r>
    </w:p>
    <w:p>
      <w:pPr>
        <w:pStyle w:val="ListBullet"/>
        <w:spacing w:after="40"/>
      </w:pPr>
      <w:r>
        <w:rPr>
          <w:sz w:val="22"/>
        </w:rPr>
        <w:t>Promotie: vandaag minimaal op holdingniveau; morgen redactionele content op water-asset-lifecycle-thema.</w:t>
      </w:r>
    </w:p>
    <w:p>
      <w:pPr>
        <w:pStyle w:val="ListBullet"/>
        <w:spacing w:after="40"/>
      </w:pPr>
      <w:r>
        <w:rPr>
          <w:sz w:val="22"/>
        </w:rPr>
        <w:t>Process: BIM-gebaseerd projectbeheer; morgen twin-platform.</w:t>
      </w:r>
    </w:p>
    <w:p>
      <w:pPr>
        <w:pStyle w:val="ListBullet"/>
        <w:spacing w:after="40"/>
      </w:pPr>
      <w:r>
        <w:rPr>
          <w:sz w:val="22"/>
        </w:rPr>
        <w:t>People: 'genegewone' werkgeversmerk; morgen aangevuld met 'water-asset-thinkers'.</w:t>
      </w:r>
    </w:p>
    <w:p>
      <w:pPr>
        <w:pStyle w:val="ListBullet"/>
        <w:spacing w:after="40"/>
      </w:pPr>
      <w:r>
        <w:rPr>
          <w:sz w:val="22"/>
        </w:rPr>
        <w:t>Physical evidence: kantoren Burcht, kade Schelde, machinepark, staalatelier.</w:t>
      </w:r>
    </w:p>
    <w:p>
      <w:pPr>
        <w:spacing w:before="280" w:after="80"/>
      </w:pPr>
      <w:r>
        <w:rPr>
          <w:b/>
          <w:color w:val="1B2A49"/>
          <w:sz w:val="28"/>
        </w:rPr>
        <w:t>10.  Customer Journey Mapping</w:t>
      </w:r>
    </w:p>
    <w:p>
      <w:pPr>
        <w:spacing w:after="120" w:line="288" w:lineRule="auto"/>
      </w:pPr>
      <w:r>
        <w:rPr>
          <w:b w:val="0"/>
          <w:i w:val="0"/>
          <w:sz w:val="22"/>
        </w:rPr>
        <w:t>Reis van de Vlaamse Waterweg-aanbesteder die een sluis aanbesteedt:</w:t>
      </w:r>
    </w:p>
    <w:p>
      <w:pPr>
        <w:pStyle w:val="ListBullet"/>
        <w:spacing w:after="40"/>
      </w:pPr>
      <w:r>
        <w:rPr>
          <w:sz w:val="22"/>
        </w:rPr>
        <w:t>Awareness: ervaart een verouderend asset, wordt geconfronteerd met inspectierapport.</w:t>
      </w:r>
    </w:p>
    <w:p>
      <w:pPr>
        <w:pStyle w:val="ListBullet"/>
        <w:spacing w:after="40"/>
      </w:pPr>
      <w:r>
        <w:rPr>
          <w:sz w:val="22"/>
        </w:rPr>
        <w:t>Consideration: organiseert markt-consultatie, vraagt aanbieders om hun aanpak.</w:t>
      </w:r>
    </w:p>
    <w:p>
      <w:pPr>
        <w:pStyle w:val="ListBullet"/>
        <w:spacing w:after="40"/>
      </w:pPr>
      <w:r>
        <w:rPr>
          <w:sz w:val="22"/>
        </w:rPr>
        <w:t>Selectie: publiceert bestek, evalueert offertes op EMVI.</w:t>
      </w:r>
    </w:p>
    <w:p>
      <w:pPr>
        <w:pStyle w:val="ListBullet"/>
        <w:spacing w:after="40"/>
      </w:pPr>
      <w:r>
        <w:rPr>
          <w:sz w:val="22"/>
        </w:rPr>
        <w:t>Realisatie: tekent contract, ondergaat uitvoering, neemt opleveringsproces over.</w:t>
      </w:r>
    </w:p>
    <w:p>
      <w:pPr>
        <w:pStyle w:val="ListBullet"/>
        <w:spacing w:after="40"/>
      </w:pPr>
      <w:r>
        <w:rPr>
          <w:sz w:val="22"/>
        </w:rPr>
        <w:t>Gebruik (NU LEEG): gebruikt asset 30+ jaar, met steeds krimpend technisch personeel.</w:t>
      </w:r>
    </w:p>
    <w:p>
      <w:pPr>
        <w:pStyle w:val="ListBullet"/>
        <w:spacing w:after="40"/>
      </w:pPr>
      <w:r>
        <w:rPr>
          <w:sz w:val="22"/>
        </w:rPr>
        <w:t>Verwijdering (NU LEEG): sloop, recyclage, vervanging.</w:t>
      </w:r>
    </w:p>
    <w:p>
      <w:pPr>
        <w:pStyle w:val="ListBullet"/>
        <w:spacing w:after="40"/>
      </w:pPr>
      <w:r>
        <w:rPr>
          <w:sz w:val="22"/>
        </w:rPr>
        <w:t>H2O Group is vandaag aanwezig in 'selectie' en 'realisatie'. Op de andere fases (awareness, consideration, gebruik, verwijdering) is de holding niet zichtbaar.</w:t>
      </w:r>
    </w:p>
    <w:p>
      <w:pPr>
        <w:spacing w:before="280" w:after="80"/>
      </w:pPr>
      <w:r>
        <w:rPr>
          <w:b/>
          <w:color w:val="1B2A49"/>
          <w:sz w:val="28"/>
        </w:rPr>
        <w:t>11.  SCARF (David Rock)</w:t>
      </w:r>
    </w:p>
    <w:p>
      <w:pPr>
        <w:spacing w:after="120" w:line="288" w:lineRule="auto"/>
      </w:pPr>
      <w:r>
        <w:rPr>
          <w:b w:val="0"/>
          <w:i w:val="0"/>
          <w:sz w:val="22"/>
        </w:rPr>
        <w:t>Vijf sociale drivers die beslissingen sturen bij stakeholders:</w:t>
      </w:r>
    </w:p>
    <w:p>
      <w:pPr>
        <w:pStyle w:val="ListBullet"/>
        <w:spacing w:after="40"/>
      </w:pPr>
      <w:r>
        <w:rPr>
          <w:sz w:val="22"/>
        </w:rPr>
        <w:t>Status: aanbesteder wint status door geslaagde overdracht aan opvolger — twin verhoogt deze.</w:t>
      </w:r>
    </w:p>
    <w:p>
      <w:pPr>
        <w:pStyle w:val="ListBullet"/>
        <w:spacing w:after="40"/>
      </w:pPr>
      <w:r>
        <w:rPr>
          <w:sz w:val="22"/>
        </w:rPr>
        <w:t>Certainty: digital twin verlaagt onzekerheid over toekomstige toestand.</w:t>
      </w:r>
    </w:p>
    <w:p>
      <w:pPr>
        <w:pStyle w:val="ListBullet"/>
        <w:spacing w:after="40"/>
      </w:pPr>
      <w:r>
        <w:rPr>
          <w:sz w:val="22"/>
        </w:rPr>
        <w:t>Autonomy: realtime data geeft aanbesteder controle, ontneemt niet.</w:t>
      </w:r>
    </w:p>
    <w:p>
      <w:pPr>
        <w:pStyle w:val="ListBullet"/>
        <w:spacing w:after="40"/>
      </w:pPr>
      <w:r>
        <w:rPr>
          <w:sz w:val="22"/>
        </w:rPr>
        <w:t>Relatedness: HYE wordt partner over de bouw heen, niet leverancier die verdwijnt.</w:t>
      </w:r>
    </w:p>
    <w:p>
      <w:pPr>
        <w:pStyle w:val="ListBullet"/>
        <w:spacing w:after="40"/>
      </w:pPr>
      <w:r>
        <w:rPr>
          <w:sz w:val="22"/>
        </w:rPr>
        <w:t>Fairness: outcome-based pricing voelt eerlijker dan opgelegde tarieven.</w:t>
      </w:r>
    </w:p>
    <w:p>
      <w:pPr>
        <w:spacing w:before="280" w:after="80"/>
      </w:pPr>
      <w:r>
        <w:rPr>
          <w:b/>
          <w:color w:val="1B2A49"/>
          <w:sz w:val="28"/>
        </w:rPr>
        <w:t>12.  Cialdini Influence</w:t>
      </w:r>
    </w:p>
    <w:p>
      <w:pPr>
        <w:spacing w:after="120" w:line="288" w:lineRule="auto"/>
      </w:pPr>
      <w:r>
        <w:rPr>
          <w:b w:val="0"/>
          <w:i w:val="0"/>
          <w:sz w:val="22"/>
        </w:rPr>
        <w:t>Zeven beïnvloedingsprincipes — welke werkt voor H2O Group?</w:t>
      </w:r>
    </w:p>
    <w:p>
      <w:pPr>
        <w:pStyle w:val="ListBullet"/>
        <w:spacing w:after="40"/>
      </w:pPr>
      <w:r>
        <w:rPr>
          <w:sz w:val="22"/>
        </w:rPr>
        <w:t>Authority: 100 jaar track record + CO2-Niveau 3 — sterk inzetbaar.</w:t>
      </w:r>
    </w:p>
    <w:p>
      <w:pPr>
        <w:pStyle w:val="ListBullet"/>
        <w:spacing w:after="40"/>
      </w:pPr>
      <w:r>
        <w:rPr>
          <w:sz w:val="22"/>
        </w:rPr>
        <w:t>Consistency: vroeg engagement van klant in pilot maakt latere keuze waarschijnlijker.</w:t>
      </w:r>
    </w:p>
    <w:p>
      <w:pPr>
        <w:pStyle w:val="ListBullet"/>
        <w:spacing w:after="40"/>
      </w:pPr>
      <w:r>
        <w:rPr>
          <w:sz w:val="22"/>
        </w:rPr>
        <w:t>Reciprocity: gratis whitepaper of pilot kan vervolgcontract opleveren.</w:t>
      </w:r>
    </w:p>
    <w:p>
      <w:pPr>
        <w:pStyle w:val="ListBullet"/>
        <w:spacing w:after="40"/>
      </w:pPr>
      <w:r>
        <w:rPr>
          <w:sz w:val="22"/>
        </w:rPr>
        <w:t>Liking: 'genegewone' werkgeversverhaal versterkt liking bij Vlaamse aanbesteders.</w:t>
      </w:r>
    </w:p>
    <w:p>
      <w:pPr>
        <w:pStyle w:val="ListBullet"/>
        <w:spacing w:after="40"/>
      </w:pPr>
      <w:r>
        <w:rPr>
          <w:sz w:val="22"/>
        </w:rPr>
        <w:t>Social proof: case study met De Vlaamse Waterweg is goud waard.</w:t>
      </w:r>
    </w:p>
    <w:p>
      <w:pPr>
        <w:pStyle w:val="ListBullet"/>
        <w:spacing w:after="40"/>
      </w:pPr>
      <w:r>
        <w:rPr>
          <w:sz w:val="22"/>
        </w:rPr>
        <w:t>Scarcity: aanbestedingscycli zijn schaars — wie eerst pilot heeft, wint eerst contract.</w:t>
      </w:r>
    </w:p>
    <w:p>
      <w:pPr>
        <w:pStyle w:val="ListBullet"/>
        <w:spacing w:after="40"/>
      </w:pPr>
      <w:r>
        <w:rPr>
          <w:sz w:val="22"/>
        </w:rPr>
        <w:t>Unity: 'wij Vlamingen aan de Schelde bouwen samen' — sterk inzetbaar.</w:t>
      </w:r>
    </w:p>
    <w:p>
      <w:pPr>
        <w:spacing w:before="280" w:after="80"/>
      </w:pPr>
      <w:r>
        <w:rPr>
          <w:b/>
          <w:color w:val="1B2A49"/>
          <w:sz w:val="28"/>
        </w:rPr>
        <w:t>13.  Prospect Theory (Kahneman-Tversky)</w:t>
      </w:r>
    </w:p>
    <w:p>
      <w:pPr>
        <w:spacing w:after="120" w:line="288" w:lineRule="auto"/>
      </w:pPr>
      <w:r>
        <w:rPr>
          <w:b w:val="0"/>
          <w:i w:val="0"/>
          <w:sz w:val="22"/>
        </w:rPr>
        <w:t>Verliesaversie 2x sterker dan winstvreugde. Framing-strategie:</w:t>
      </w:r>
    </w:p>
    <w:p>
      <w:pPr>
        <w:pStyle w:val="ListBullet"/>
        <w:spacing w:after="40"/>
      </w:pPr>
      <w:r>
        <w:rPr>
          <w:sz w:val="22"/>
        </w:rPr>
        <w:t>B2B-aanbesteder: 'voorkom verlies van kennis, grip, geld over levensduur asset'.</w:t>
      </w:r>
    </w:p>
    <w:p>
      <w:pPr>
        <w:pStyle w:val="ListBullet"/>
        <w:spacing w:after="40"/>
      </w:pPr>
      <w:r>
        <w:rPr>
          <w:sz w:val="22"/>
        </w:rPr>
        <w:t>Talent: 'voorkom verlies van zinvol werk in commerciële omgeving'.</w:t>
      </w:r>
    </w:p>
    <w:p>
      <w:pPr>
        <w:pStyle w:val="ListBullet"/>
        <w:spacing w:after="40"/>
      </w:pPr>
      <w:r>
        <w:rPr>
          <w:sz w:val="22"/>
        </w:rPr>
        <w:t>Pers: 'voorkom verlies van Vlaamse infrastructuur-soevereiniteit aan buitenlandse spelers'.</w:t>
      </w:r>
    </w:p>
    <w:p>
      <w:pPr>
        <w:spacing w:before="280" w:after="80"/>
      </w:pPr>
      <w:r>
        <w:rPr>
          <w:b/>
          <w:color w:val="1B2A49"/>
          <w:sz w:val="28"/>
        </w:rPr>
        <w:t>14.  Schwartz Universal Values</w:t>
      </w:r>
    </w:p>
    <w:p>
      <w:pPr>
        <w:spacing w:after="120" w:line="288" w:lineRule="auto"/>
      </w:pPr>
      <w:r>
        <w:rPr>
          <w:b w:val="0"/>
          <w:i w:val="0"/>
          <w:sz w:val="22"/>
        </w:rPr>
        <w:t>Welke waarden activeert H2O Group?</w:t>
      </w:r>
    </w:p>
    <w:p>
      <w:pPr>
        <w:pStyle w:val="ListBullet"/>
        <w:spacing w:after="40"/>
      </w:pPr>
      <w:r>
        <w:rPr>
          <w:sz w:val="22"/>
        </w:rPr>
        <w:t>Universalisme (klimaat-resilientie, milieubescherming): activeerbaar via duurzaamheid-verhaal.</w:t>
      </w:r>
    </w:p>
    <w:p>
      <w:pPr>
        <w:pStyle w:val="ListBullet"/>
        <w:spacing w:after="40"/>
      </w:pPr>
      <w:r>
        <w:rPr>
          <w:sz w:val="22"/>
        </w:rPr>
        <w:t>Benevolence (zorg voor naasten, gemeenschap): 'genegewoon'-cultuur.</w:t>
      </w:r>
    </w:p>
    <w:p>
      <w:pPr>
        <w:pStyle w:val="ListBullet"/>
        <w:spacing w:after="40"/>
      </w:pPr>
      <w:r>
        <w:rPr>
          <w:sz w:val="22"/>
        </w:rPr>
        <w:t>Achievement (succes, vakmanschap): kerncultuur.</w:t>
      </w:r>
    </w:p>
    <w:p>
      <w:pPr>
        <w:pStyle w:val="ListBullet"/>
        <w:spacing w:after="40"/>
      </w:pPr>
      <w:r>
        <w:rPr>
          <w:sz w:val="22"/>
        </w:rPr>
        <w:t>Tradition (continuïteit, ambacht): HYE 1929-2029-anker.</w:t>
      </w:r>
    </w:p>
    <w:p>
      <w:pPr>
        <w:pStyle w:val="ListBullet"/>
        <w:spacing w:after="40"/>
      </w:pPr>
      <w:r>
        <w:rPr>
          <w:sz w:val="22"/>
        </w:rPr>
        <w:t>Stimulation (vernieuwing, AI, twin): ondervertegenwoordigd in huidige communicatie. Aanvullen.</w:t>
      </w:r>
    </w:p>
    <w:p>
      <w:pPr>
        <w:spacing w:before="280" w:after="80"/>
      </w:pPr>
      <w:r>
        <w:rPr>
          <w:b/>
          <w:color w:val="1B2A49"/>
          <w:sz w:val="28"/>
        </w:rPr>
        <w:t>15.  Girard (Mimetic Desire)</w:t>
      </w:r>
    </w:p>
    <w:p>
      <w:pPr>
        <w:spacing w:after="120" w:line="288" w:lineRule="auto"/>
      </w:pPr>
      <w:r>
        <w:rPr>
          <w:b w:val="0"/>
          <w:i w:val="0"/>
          <w:sz w:val="22"/>
        </w:rPr>
        <w:t>Wat begeren de stakeholders, en wie willen ze nadoen?</w:t>
      </w:r>
    </w:p>
    <w:p>
      <w:pPr>
        <w:pStyle w:val="ListBullet"/>
        <w:spacing w:after="40"/>
      </w:pPr>
      <w:r>
        <w:rPr>
          <w:sz w:val="22"/>
        </w:rPr>
        <w:t>Vlaamse aanbesteders kijken naar Rijkswaterstaat als referentie. Rijkswaterstaat omarmt digital twins. Dat is een mimetische pull voor Vlaanderen.</w:t>
      </w:r>
    </w:p>
    <w:p>
      <w:pPr>
        <w:pStyle w:val="ListBullet"/>
        <w:spacing w:after="40"/>
      </w:pPr>
      <w:r>
        <w:rPr>
          <w:sz w:val="22"/>
        </w:rPr>
        <w:t>Vlaamse industriële holdings kijken naar Ackermans &amp; van Haaren en GIMV als geslaagde portfolio-spelers. H2O Group kan zich profileren als 'industriële spin' op die formules.</w:t>
      </w:r>
    </w:p>
    <w:p>
      <w:pPr>
        <w:pStyle w:val="ListBullet"/>
        <w:spacing w:after="40"/>
      </w:pPr>
      <w:r>
        <w:rPr>
          <w:sz w:val="22"/>
        </w:rPr>
        <w:t>Jonge talenten in burgerlijke bouwkunde kijken naar Arup, Royal HaskoningDHV — vernieuwende, missiegedreven bureaus. H2O Group kan dat type imago kapen door zichtbare AI-strategie.</w:t>
      </w:r>
    </w:p>
    <w:p>
      <w:pPr>
        <w:spacing w:before="280" w:after="80"/>
      </w:pPr>
      <w:r>
        <w:rPr>
          <w:b/>
          <w:color w:val="1B2A49"/>
          <w:sz w:val="28"/>
        </w:rPr>
        <w:t>16.  COM-B (Capability, Opportunity, Motivation → Behaviour)</w:t>
      </w:r>
    </w:p>
    <w:p>
      <w:pPr>
        <w:spacing w:after="120" w:line="288" w:lineRule="auto"/>
      </w:pPr>
      <w:r>
        <w:rPr>
          <w:b w:val="0"/>
          <w:i w:val="0"/>
          <w:sz w:val="22"/>
        </w:rPr>
        <w:t>Wat heeft een klant nodig om voor H2O Group te kiezen?</w:t>
      </w:r>
    </w:p>
    <w:p>
      <w:pPr>
        <w:pStyle w:val="ListBullet"/>
        <w:spacing w:after="40"/>
      </w:pPr>
      <w:r>
        <w:rPr>
          <w:sz w:val="22"/>
        </w:rPr>
        <w:t>Capability: aanbesteder moet weten dát H2O Group lifecycle-bod kan leveren. Dit vereist communicatie.</w:t>
      </w:r>
    </w:p>
    <w:p>
      <w:pPr>
        <w:pStyle w:val="ListBullet"/>
        <w:spacing w:after="40"/>
      </w:pPr>
      <w:r>
        <w:rPr>
          <w:sz w:val="22"/>
        </w:rPr>
        <w:t>Opportunity: aanbestedingsregels moeten lifecycle-bod toestaan. EMVI-criteria pluggen aan op duurzaamheid + onderhoud.</w:t>
      </w:r>
    </w:p>
    <w:p>
      <w:pPr>
        <w:pStyle w:val="ListBullet"/>
        <w:spacing w:after="40"/>
      </w:pPr>
      <w:r>
        <w:rPr>
          <w:sz w:val="22"/>
        </w:rPr>
        <w:t>Motivation: persoonlijke en organisatorische incentives moeten goed staan. Beheers-stress is een motivator.</w:t>
      </w:r>
    </w:p>
    <w:p>
      <w:pPr>
        <w:spacing w:before="280" w:after="80"/>
      </w:pPr>
      <w:r>
        <w:rPr>
          <w:b/>
          <w:color w:val="1B2A49"/>
          <w:sz w:val="28"/>
        </w:rPr>
        <w:t>17.  Sharp/Byron-stack (samenvattend)</w:t>
      </w:r>
    </w:p>
    <w:p>
      <w:pPr>
        <w:spacing w:after="120" w:line="288" w:lineRule="auto"/>
      </w:pPr>
      <w:r>
        <w:rPr>
          <w:b w:val="0"/>
          <w:i w:val="0"/>
          <w:sz w:val="22"/>
        </w:rPr>
        <w:t>Three principles to win share:</w:t>
      </w:r>
    </w:p>
    <w:p>
      <w:pPr>
        <w:pStyle w:val="ListBullet"/>
        <w:spacing w:after="40"/>
      </w:pPr>
      <w:r>
        <w:rPr>
          <w:sz w:val="22"/>
        </w:rPr>
        <w:t>Reach (bereik veel mogelijke kopers): vandaag onder-presteert H2O Group op zichtbaarheid.</w:t>
      </w:r>
    </w:p>
    <w:p>
      <w:pPr>
        <w:pStyle w:val="ListBullet"/>
        <w:spacing w:after="40"/>
      </w:pPr>
      <w:r>
        <w:rPr>
          <w:sz w:val="22"/>
        </w:rPr>
        <w:t>Distinctive assets (sterke herkenningselementen): logo, kleur, taal, foto-stijl — vandaag matig consistent over dochters.</w:t>
      </w:r>
    </w:p>
    <w:p>
      <w:pPr>
        <w:pStyle w:val="ListBullet"/>
        <w:spacing w:after="40"/>
      </w:pPr>
      <w:r>
        <w:rPr>
          <w:sz w:val="22"/>
        </w:rPr>
        <w:t>Mental availability via CEPs: H2O Group claimt vandaag geen enkele Category Entry Point op holdingniveau. Sterke kandidaat: 'water-asset lifecycle leadership'.</w:t>
      </w:r>
    </w:p>
    <w:p>
      <w:pPr>
        <w:spacing w:before="280" w:after="80"/>
      </w:pPr>
      <w:r>
        <w:rPr>
          <w:b/>
          <w:color w:val="1B2A49"/>
          <w:sz w:val="28"/>
        </w:rPr>
        <w:t>Synthese over de 17 frameworks heen</w:t>
      </w:r>
    </w:p>
    <w:p>
      <w:pPr>
        <w:ind w:left="227"/>
      </w:pPr>
      <w:r>
        <w:rPr>
          <w:b/>
          <w:color w:val="B8A06E"/>
          <w:sz w:val="21"/>
        </w:rPr>
        <w:t xml:space="preserve">STRATEGISCHE CONSTANTE:  </w:t>
      </w:r>
      <w:r>
        <w:rPr>
          <w:color w:val="555555"/>
          <w:sz w:val="21"/>
        </w:rPr>
        <w:t>Zestien van de zeventien frameworks wijzen naar dezelfde grond-conclusie: H2O Group bezit operationele kracht (vakmanschap, supply chain, Schelde-locatie, 100-jarige naam) zonder strategische projectie (geen holding-verhaal, geen AI-positie, geen lifecycle-claim). Het verschil tussen 'waarde-genererende holding' en 'strategische platform-holding' zit niet in een nieuwe overname maar in een nieuwe vertelling van wat reeds bestaat.</w:t>
      </w:r>
    </w:p>
    <w:p>
      <w:pPr>
        <w:spacing w:before="160" w:after="40"/>
      </w:pPr>
      <w:r>
        <w:rPr>
          <w:b/>
          <w:color w:val="B8A06E"/>
          <w:sz w:val="23"/>
        </w:rPr>
        <w:t>Drie lagen voor het gesprek morgen</w:t>
      </w:r>
    </w:p>
    <w:p>
      <w:pPr>
        <w:pStyle w:val="ListBullet"/>
        <w:spacing w:after="40"/>
      </w:pPr>
      <w:r>
        <w:rPr>
          <w:sz w:val="22"/>
        </w:rPr>
        <w:t>Sociale laag: 'genegewone Vlaamse mensen die de Schelde-as bouwen en bewaken'.</w:t>
      </w:r>
    </w:p>
    <w:p>
      <w:pPr>
        <w:pStyle w:val="ListBullet"/>
        <w:spacing w:after="40"/>
      </w:pPr>
      <w:r>
        <w:rPr>
          <w:sz w:val="22"/>
        </w:rPr>
        <w:t>Emotionele laag: 'voorkomen dat onze kennis verdwijnt als de bouwer vertrekt'.</w:t>
      </w:r>
    </w:p>
    <w:p>
      <w:pPr>
        <w:pStyle w:val="ListBullet"/>
        <w:spacing w:after="40"/>
      </w:pPr>
      <w:r>
        <w:rPr>
          <w:sz w:val="22"/>
        </w:rPr>
        <w:t>Functionele laag: 'AI-platform op holdingniveau dat operationele dochters versnelt en lifecycle-omzet ontsluit'.</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 in het gesprek morgen.</w:t>
      </w:r>
    </w:p>
    <w:p>
      <w:pPr>
        <w:spacing w:after="120"/>
      </w:pPr>
      <w:r>
        <w:rPr>
          <w:b/>
          <w:color w:val="1B2A49"/>
        </w:rPr>
        <w:t xml:space="preserve">1.  </w:t>
      </w:r>
      <w:r>
        <w:rPr>
          <w:sz w:val="22"/>
        </w:rPr>
        <w:t>Welke twee frameworks van de zeventien zou je weglaten omdat ze in deze context geen waarde toevoegen? Want het tonen van vijftien sterke inzichten is beter dan zeventien gemiddelde. Mijn gok: 4P en SCARF voegen het minst toe — beide zijn breder bevestigend dan scherp.</w:t>
      </w:r>
    </w:p>
    <w:p>
      <w:pPr>
        <w:spacing w:after="120"/>
      </w:pPr>
      <w:r>
        <w:rPr>
          <w:b/>
          <w:color w:val="1B2A49"/>
        </w:rPr>
        <w:t xml:space="preserve">2.  </w:t>
      </w:r>
      <w:r>
        <w:rPr>
          <w:sz w:val="22"/>
        </w:rPr>
        <w:t>Hoeveel van de zeventien frameworks bestaan al in het hoofd van Vernimmen c.s.? Want het verschil tussen consultancy en intern strategiewerk is niet de modellen, maar de durf om eruit te kiezen. Zeventien lenzen die geen actie veroorzaken, zijn verloren beschaving.</w:t>
      </w:r>
    </w:p>
    <w:p>
      <w:pPr>
        <w:spacing w:after="120"/>
      </w:pPr>
      <w:r>
        <w:rPr>
          <w:b/>
          <w:color w:val="1B2A49"/>
        </w:rPr>
        <w:t xml:space="preserve">3.  </w:t>
      </w:r>
      <w:r>
        <w:rPr>
          <w:sz w:val="22"/>
        </w:rPr>
        <w:t>Welk framework ontbreekt? Drie kandidaten die ik bewust niet behandeld heb: governance-modellen (boardroom-dynamiek met vier MBO-eigenaren), private-equity-evaluatie (hoe ziet H2O Group eruit door de ogen van een potentiële koper), en scenario-planning (Vlaamse aanbestedingsmarkt in 2032 onder vier verschillende politieke regimes). Verdienen alle drie een eigen sessie.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27 mei 2026 · V10 Multi-framework synthese H2O Group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