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left"/>
      </w:pPr>
      <w:r>
        <w:rPr>
          <w:b/>
          <w:color w:val="B8A06E"/>
          <w:sz w:val="22"/>
        </w:rPr>
        <w:t>DOSSIER 09 · V13 · AI-VALIDATIEPLAN · HYE NV</w:t>
      </w:r>
    </w:p>
    <w:p>
      <w:r>
        <w:rPr>
          <w:b/>
          <w:color w:val="1B2A49"/>
          <w:sz w:val="60"/>
        </w:rPr>
        <w:t>Het idee testen vóór we het bouwen</w:t>
      </w:r>
    </w:p>
    <w:p>
      <w:r>
        <w:rPr>
          <w:i/>
          <w:color w:val="555555"/>
          <w:sz w:val="26"/>
        </w:rPr>
        <w:t>Pre-sale validatie van de digital-twin- en AI-cases voor HYE. Welke aannames moeten eerst falen voor we durven investeren?</w:t>
      </w:r>
    </w:p>
    <w:p>
      <w:pPr>
        <w:pBdr>
          <w:bottom w:val="single" w:sz="6" w:space="1" w:color="B8A06E"/>
        </w:pBdr>
      </w:pPr>
    </w:p>
    <w:p/>
    <w:p>
      <w:pPr>
        <w:spacing w:before="280" w:after="80"/>
      </w:pPr>
      <w:r>
        <w:rPr>
          <w:b/>
          <w:color w:val="1B2A49"/>
          <w:sz w:val="28"/>
        </w:rPr>
        <w:t>Vertrekpunt</w:t>
      </w:r>
    </w:p>
    <w:p>
      <w:pPr>
        <w:spacing w:after="120" w:line="288" w:lineRule="auto"/>
      </w:pPr>
      <w:r>
        <w:rPr>
          <w:b w:val="0"/>
          <w:i w:val="0"/>
          <w:sz w:val="22"/>
        </w:rPr>
        <w:t>Twee dossiers eerder (V8, V12) hebben drie commerciële AI-cases voor HYE op tafel gelegd: digital twin bij oplevering, predictive maintenance-abonnement, en AI-grondscreening voor combinaties met Bremcon. Geen van die drie is bewezen op de Vlaamse waterbouwmarkt. Voor we kapitaal aan één ervan kleven, moeten we de fragiele aannames isoleren en goedkoop testen.</w:t>
      </w:r>
    </w:p>
    <w:p>
      <w:pPr>
        <w:spacing w:after="120" w:line="288" w:lineRule="auto"/>
      </w:pPr>
      <w:r>
        <w:rPr>
          <w:b w:val="0"/>
          <w:i w:val="0"/>
          <w:sz w:val="22"/>
        </w:rPr>
        <w:t>Dit dossier ordent per case: risico-categorieën (wens-, vraag-, waarde-, levensvatbaarheid-risico), testen, kosten, exit-criteria.</w:t>
      </w:r>
    </w:p>
    <w:p>
      <w:pPr>
        <w:spacing w:before="280" w:after="80"/>
      </w:pPr>
      <w:r>
        <w:rPr>
          <w:b/>
          <w:color w:val="1B2A49"/>
          <w:sz w:val="28"/>
        </w:rPr>
        <w:t>Case A.  Digital Twin bij oplevering van bruggen en sluizen</w:t>
      </w:r>
    </w:p>
    <w:p>
      <w:pPr>
        <w:spacing w:before="160" w:after="40"/>
      </w:pPr>
      <w:r>
        <w:rPr>
          <w:b/>
          <w:color w:val="B8A06E"/>
          <w:sz w:val="23"/>
        </w:rPr>
        <w:t>De aanname die het hardst getest moet worden</w:t>
      </w:r>
    </w:p>
    <w:p>
      <w:pPr>
        <w:spacing w:after="120"/>
        <w:ind w:left="340"/>
      </w:pPr>
      <w:r>
        <w:rPr>
          <w:i/>
          <w:color w:val="555555"/>
          <w:sz w:val="21"/>
        </w:rPr>
        <w:t>Vlaamse aanbestedende diensten zullen vanaf 2027 in hun bestek expliciet of impliciet een digital twin bij oplevering vragen, en zullen aannemers die dat kunnen leveren prefereren — zelfs als de prijs 2-5% hoger ligt.</w:t>
      </w:r>
    </w:p>
    <w:p>
      <w:pPr>
        <w:spacing w:before="160" w:after="40"/>
      </w:pPr>
      <w:r>
        <w:rPr>
          <w:b/>
          <w:color w:val="B8A06E"/>
          <w:sz w:val="23"/>
        </w:rPr>
        <w:t>Risico-decompositie</w:t>
      </w:r>
    </w:p>
    <w:p>
      <w:pPr>
        <w:pStyle w:val="ListBullet"/>
        <w:spacing w:after="40"/>
      </w:pPr>
      <w:r>
        <w:rPr>
          <w:sz w:val="22"/>
        </w:rPr>
        <w:t>Wens-risico (willen ze het?): MEDIUM. De Vlaamse Waterweg investeert al in automatisering 427 kunstwerken; logisch dat ze een twin wensen. Maar onbekend of aanbestedingstabel het waardeert.</w:t>
      </w:r>
    </w:p>
    <w:p>
      <w:pPr>
        <w:pStyle w:val="ListBullet"/>
        <w:spacing w:after="40"/>
      </w:pPr>
      <w:r>
        <w:rPr>
          <w:sz w:val="22"/>
        </w:rPr>
        <w:t>Vraag-risico (vragen ze het effectief?): HOOG. Tot vandaag geen Vlaams bestek dat twin verplicht stelt.</w:t>
      </w:r>
    </w:p>
    <w:p>
      <w:pPr>
        <w:pStyle w:val="ListBullet"/>
        <w:spacing w:after="40"/>
      </w:pPr>
      <w:r>
        <w:rPr>
          <w:sz w:val="22"/>
        </w:rPr>
        <w:t>Waarde-risico (kan HYE het waarmaken?): MEDIUM-HOOG. HYE heeft BIM-capaciteit maar geen twin-product.</w:t>
      </w:r>
    </w:p>
    <w:p>
      <w:pPr>
        <w:pStyle w:val="ListBullet"/>
        <w:spacing w:after="40"/>
      </w:pPr>
      <w:r>
        <w:rPr>
          <w:sz w:val="22"/>
        </w:rPr>
        <w:t>Levensvatbaarheid-risico (kan het rendabel?): HOOG. Eerste pilot is verlies-investering.</w:t>
      </w:r>
    </w:p>
    <w:p>
      <w:pPr>
        <w:spacing w:before="160" w:after="40"/>
      </w:pPr>
      <w:r>
        <w:rPr>
          <w:b/>
          <w:color w:val="B8A06E"/>
          <w:sz w:val="23"/>
        </w:rPr>
        <w:t>Validatie-tests in volgorde (cheap-to-expensive)</w:t>
      </w:r>
    </w:p>
    <w:p>
      <w:pPr>
        <w:pStyle w:val="ListNumber"/>
        <w:spacing w:after="40"/>
      </w:pPr>
      <w:r>
        <w:rPr>
          <w:sz w:val="22"/>
        </w:rPr>
        <w:t>Wens-test (€0-€2k, 2-4 weken): vijf gestructureerde interviews met aanbestedende diensten (Vlaamse Waterweg, Lantis, Antwerps Havenbedrijf, twee Nederlandse Rijkswaterstaat-regio's). Vraagstelling: 'Welke informatie over een asset wenst u in 2030 te ontvangen bij oplevering?' Open vraag, geen suggestie.</w:t>
      </w:r>
    </w:p>
    <w:p>
      <w:pPr>
        <w:pStyle w:val="ListNumber"/>
        <w:spacing w:after="40"/>
      </w:pPr>
      <w:r>
        <w:rPr>
          <w:sz w:val="22"/>
        </w:rPr>
        <w:t>Vraag-test (€5-€15k, 4-6 weken): een one-pager (geen prototype) met de twin-belofte van HYE wordt voorgelegd aan diezelfde aanbesteders met expliciete vraag: 'Zou u dit in een toekomstig bestek opnemen, en hoe zou u het wegen?' Mocht binnenkort een markt-consultatie verschijnen, daar inschuiven.</w:t>
      </w:r>
    </w:p>
    <w:p>
      <w:pPr>
        <w:pStyle w:val="ListNumber"/>
        <w:spacing w:after="40"/>
      </w:pPr>
      <w:r>
        <w:rPr>
          <w:sz w:val="22"/>
        </w:rPr>
        <w:t>Pretotyping (€10-€25k, 6-8 weken): mock-up van een twin-dashboard van een afgewerkt HYE-project (bv. één Albertkanaal-brug). Gebruik bestaande BIM-data + één dummy sensor-feed. Vraag aanbestedende dienst: 'Stel u krijgt dit bij oplevering — wat zou u ermee doen?'</w:t>
      </w:r>
    </w:p>
    <w:p>
      <w:pPr>
        <w:pStyle w:val="ListNumber"/>
        <w:spacing w:after="40"/>
      </w:pPr>
      <w:r>
        <w:rPr>
          <w:sz w:val="22"/>
        </w:rPr>
        <w:t>Smoke test (€20-€50k, 8-12 weken): publiek aankondigen (via een persmoment of LinkedIn) dat HYE als pilot een twin levert bij oplevering van project X. Meet welke aanbestedende diensten contact opnemen. Geen aanbod, geen contract — alleen meten van interesse.</w:t>
      </w:r>
    </w:p>
    <w:p>
      <w:pPr>
        <w:pStyle w:val="ListNumber"/>
        <w:spacing w:after="40"/>
      </w:pPr>
      <w:r>
        <w:rPr>
          <w:sz w:val="22"/>
        </w:rPr>
        <w:t>Wizard-of-Oz pilot (€100-€250k, 6-12 maanden): met één gewillige opdrachtgever de eerste echte twin leveren, deels handmatig opgebouwd, deels via partner-platform. Klant krijgt resultaat zonder te weten hoeveel proces nog handmatig is.</w:t>
      </w:r>
    </w:p>
    <w:p>
      <w:pPr>
        <w:pStyle w:val="ListNumber"/>
        <w:spacing w:after="40"/>
      </w:pPr>
      <w:r>
        <w:rPr>
          <w:sz w:val="22"/>
        </w:rPr>
        <w:t>Echte MVP (€500k-€1,2M, 12-18 maanden): semi-geautomatiseerd platform met twee tot drie pilot-twins draaiend.</w:t>
      </w:r>
    </w:p>
    <w:p>
      <w:pPr>
        <w:spacing w:before="160" w:after="40"/>
      </w:pPr>
      <w:r>
        <w:rPr>
          <w:b/>
          <w:color w:val="B8A06E"/>
          <w:sz w:val="23"/>
        </w:rPr>
        <w:t>Exit-criteria — wanneer stoppen we?</w:t>
      </w:r>
    </w:p>
    <w:p>
      <w:pPr>
        <w:pStyle w:val="ListBullet"/>
        <w:spacing w:after="40"/>
      </w:pPr>
      <w:r>
        <w:rPr>
          <w:sz w:val="22"/>
        </w:rPr>
        <w:t>Na wens-test: stop als minder dan 2 van 5 aanbesteders interesse uit, schaal naar Nederland of Frankrijk.</w:t>
      </w:r>
    </w:p>
    <w:p>
      <w:pPr>
        <w:pStyle w:val="ListBullet"/>
        <w:spacing w:after="40"/>
      </w:pPr>
      <w:r>
        <w:rPr>
          <w:sz w:val="22"/>
        </w:rPr>
        <w:t>Na vraag-test: stop als geen enkele aanbesteder bereid is om weegt in evaluatie, of als de 'prijs-premium-tolerantie' onder de 1% blijft.</w:t>
      </w:r>
    </w:p>
    <w:p>
      <w:pPr>
        <w:pStyle w:val="ListBullet"/>
        <w:spacing w:after="40"/>
      </w:pPr>
      <w:r>
        <w:rPr>
          <w:sz w:val="22"/>
        </w:rPr>
        <w:t>Na smoke test: stop als minder dan 2 inbound-contacten per maand bij relevante doelgroep.</w:t>
      </w:r>
    </w:p>
    <w:p>
      <w:pPr>
        <w:spacing w:before="280" w:after="80"/>
      </w:pPr>
      <w:r>
        <w:rPr>
          <w:b/>
          <w:color w:val="1B2A49"/>
          <w:sz w:val="28"/>
        </w:rPr>
        <w:t>Case B.  Predictive maintenance-abonnement op bestaande HYE-assets</w:t>
      </w:r>
    </w:p>
    <w:p>
      <w:pPr>
        <w:spacing w:before="160" w:after="40"/>
      </w:pPr>
      <w:r>
        <w:rPr>
          <w:b/>
          <w:color w:val="B8A06E"/>
          <w:sz w:val="23"/>
        </w:rPr>
        <w:t>Aanname</w:t>
      </w:r>
    </w:p>
    <w:p>
      <w:pPr>
        <w:spacing w:after="120"/>
        <w:ind w:left="340"/>
      </w:pPr>
      <w:r>
        <w:rPr>
          <w:i/>
          <w:color w:val="555555"/>
          <w:sz w:val="21"/>
        </w:rPr>
        <w:t>Beheerders van bestaande HYE-gebouwde assets (kademuren, sluizen, bruggen ouder dan 10 jaar) zijn bereid een jaarlijks abonnement van €5.000-€25.000 per asset te betalen aan HYE voor een retrofit-twin met predictive maintenance.</w:t>
      </w:r>
    </w:p>
    <w:p>
      <w:pPr>
        <w:spacing w:before="160" w:after="40"/>
      </w:pPr>
      <w:r>
        <w:rPr>
          <w:b/>
          <w:color w:val="B8A06E"/>
          <w:sz w:val="23"/>
        </w:rPr>
        <w:t>Risico-decompositie</w:t>
      </w:r>
    </w:p>
    <w:p>
      <w:pPr>
        <w:pStyle w:val="ListBullet"/>
        <w:spacing w:after="40"/>
      </w:pPr>
      <w:r>
        <w:rPr>
          <w:sz w:val="22"/>
        </w:rPr>
        <w:t>Wens-risico: LAAG-MEDIUM. Beheerders willen rust en zekerheid.</w:t>
      </w:r>
    </w:p>
    <w:p>
      <w:pPr>
        <w:pStyle w:val="ListBullet"/>
        <w:spacing w:after="40"/>
      </w:pPr>
      <w:r>
        <w:rPr>
          <w:sz w:val="22"/>
        </w:rPr>
        <w:t>Vraag-risico: MEDIUM-HOOG. Publieke beheerders zijn voorzichtig met abonnementen (begrotingskwesties).</w:t>
      </w:r>
    </w:p>
    <w:p>
      <w:pPr>
        <w:pStyle w:val="ListBullet"/>
        <w:spacing w:after="40"/>
      </w:pPr>
      <w:r>
        <w:rPr>
          <w:sz w:val="22"/>
        </w:rPr>
        <w:t>Waarde-risico: MEDIUM. Sensoren installeren op bestaande structuur vergt expertise.</w:t>
      </w:r>
    </w:p>
    <w:p>
      <w:pPr>
        <w:pStyle w:val="ListBullet"/>
        <w:spacing w:after="40"/>
      </w:pPr>
      <w:r>
        <w:rPr>
          <w:sz w:val="22"/>
        </w:rPr>
        <w:t>Levensvatbaarheid-risico: MEDIUM. Onderhoudsabonnementen op infrastructuur bestaan elders (Vinci's autosnelweg-concessies), maar in waterbouw nog niet.</w:t>
      </w:r>
    </w:p>
    <w:p>
      <w:pPr>
        <w:spacing w:before="160" w:after="40"/>
      </w:pPr>
      <w:r>
        <w:rPr>
          <w:b/>
          <w:color w:val="B8A06E"/>
          <w:sz w:val="23"/>
        </w:rPr>
        <w:t>Validatie-tests</w:t>
      </w:r>
    </w:p>
    <w:p>
      <w:pPr>
        <w:pStyle w:val="ListNumber"/>
        <w:spacing w:after="40"/>
      </w:pPr>
      <w:r>
        <w:rPr>
          <w:sz w:val="22"/>
        </w:rPr>
        <w:t>Fake-door-test (€3-€8k, 4 weken): website-landingspagina 'HYE Asset Care' met formulier 'vraag voorstel aan'. Promotie naar 50 publieke beheerders. Conversie meten.</w:t>
      </w:r>
    </w:p>
    <w:p>
      <w:pPr>
        <w:pStyle w:val="ListNumber"/>
        <w:spacing w:after="40"/>
      </w:pPr>
      <w:r>
        <w:rPr>
          <w:sz w:val="22"/>
        </w:rPr>
        <w:t>Concierge-test (€15-€40k, 8-12 weken): één beheerder kiezen die bereid is om in ruil voor korting de eerste pilot mee te doen. Handmatige inspectie + sensoren + maandelijks rapport, terwijl HYE leert wat geautomatiseerd kan worden.</w:t>
      </w:r>
    </w:p>
    <w:p>
      <w:pPr>
        <w:pStyle w:val="ListNumber"/>
        <w:spacing w:after="40"/>
      </w:pPr>
      <w:r>
        <w:rPr>
          <w:sz w:val="22"/>
        </w:rPr>
        <w:t>Smoke test bij verzekeraars (€5-€15k, 6 weken): pitch het concept bij verzekeraars van publieke infrastructuur (AXA, Belfius, KBC Verzekeringen). Vraag: 'Zou u korting geven op premie als asset twin-gemonitord wordt?' Een 'ja' verandert het businessmodel.</w:t>
      </w:r>
    </w:p>
    <w:p>
      <w:pPr>
        <w:pStyle w:val="ListNumber"/>
        <w:spacing w:after="40"/>
      </w:pPr>
      <w:r>
        <w:rPr>
          <w:sz w:val="22"/>
        </w:rPr>
        <w:t>MVP-implementatie (€200k-€500k, 12 maanden): drie pilot-beheerders met operationele twin.</w:t>
      </w:r>
    </w:p>
    <w:p>
      <w:pPr>
        <w:spacing w:before="160" w:after="40"/>
      </w:pPr>
      <w:r>
        <w:rPr>
          <w:b/>
          <w:color w:val="B8A06E"/>
          <w:sz w:val="23"/>
        </w:rPr>
        <w:t>Exit-criteria</w:t>
      </w:r>
    </w:p>
    <w:p>
      <w:pPr>
        <w:pStyle w:val="ListBullet"/>
        <w:spacing w:after="40"/>
      </w:pPr>
      <w:r>
        <w:rPr>
          <w:sz w:val="22"/>
        </w:rPr>
        <w:t>Bij fake-door &lt; 5 inbound per maand: stop, niet rijp.</w:t>
      </w:r>
    </w:p>
    <w:p>
      <w:pPr>
        <w:pStyle w:val="ListBullet"/>
        <w:spacing w:after="40"/>
      </w:pPr>
      <w:r>
        <w:rPr>
          <w:sz w:val="22"/>
        </w:rPr>
        <w:t>Bij concierge-test waarbij beheerder na 6 maanden geen verlenging wil: stop, waarde niet bewezen.</w:t>
      </w:r>
    </w:p>
    <w:p>
      <w:pPr>
        <w:pStyle w:val="ListBullet"/>
        <w:spacing w:after="40"/>
      </w:pPr>
      <w:r>
        <w:rPr>
          <w:sz w:val="22"/>
        </w:rPr>
        <w:t>Bij ontbreken verzekeringspartner: continue mogelijk maar niet schaalbaar zonder.</w:t>
      </w:r>
    </w:p>
    <w:p>
      <w:pPr>
        <w:spacing w:before="280" w:after="80"/>
      </w:pPr>
      <w:r>
        <w:rPr>
          <w:b/>
          <w:color w:val="1B2A49"/>
          <w:sz w:val="28"/>
        </w:rPr>
        <w:t>Case C.  AI-grondscreening (HYE × Bremcon)</w:t>
      </w:r>
    </w:p>
    <w:p>
      <w:pPr>
        <w:spacing w:before="160" w:after="40"/>
      </w:pPr>
      <w:r>
        <w:rPr>
          <w:b/>
          <w:color w:val="B8A06E"/>
          <w:sz w:val="23"/>
        </w:rPr>
        <w:t>Aanname</w:t>
      </w:r>
    </w:p>
    <w:p>
      <w:pPr>
        <w:spacing w:after="120"/>
        <w:ind w:left="340"/>
      </w:pPr>
      <w:r>
        <w:rPr>
          <w:i/>
          <w:color w:val="555555"/>
          <w:sz w:val="21"/>
        </w:rPr>
        <w:t>Combinatie van HYE's bouwgeotechniek-data en Bremcon's bodemchemie-data, geanalyseerd door AI-modellen, voorspelt nauwkeuriger dan klassieke methodes welke grond op een werf hergebruikt kan worden — wat per project €100-500k bespaart op afvoer en aanvoer.</w:t>
      </w:r>
    </w:p>
    <w:p>
      <w:pPr>
        <w:spacing w:before="160" w:after="40"/>
      </w:pPr>
      <w:r>
        <w:rPr>
          <w:b/>
          <w:color w:val="B8A06E"/>
          <w:sz w:val="23"/>
        </w:rPr>
        <w:t>Risico-decompositie</w:t>
      </w:r>
    </w:p>
    <w:p>
      <w:pPr>
        <w:pStyle w:val="ListBullet"/>
        <w:spacing w:after="40"/>
      </w:pPr>
      <w:r>
        <w:rPr>
          <w:sz w:val="22"/>
        </w:rPr>
        <w:t>Wens-risico: LAAG. Iedereen wil grondkosten verlagen.</w:t>
      </w:r>
    </w:p>
    <w:p>
      <w:pPr>
        <w:pStyle w:val="ListBullet"/>
        <w:spacing w:after="40"/>
      </w:pPr>
      <w:r>
        <w:rPr>
          <w:sz w:val="22"/>
        </w:rPr>
        <w:t>Vraag-risico: MEDIUM. Aannemers besteden grondbeheer vaak uit aan derden.</w:t>
      </w:r>
    </w:p>
    <w:p>
      <w:pPr>
        <w:pStyle w:val="ListBullet"/>
        <w:spacing w:after="40"/>
      </w:pPr>
      <w:r>
        <w:rPr>
          <w:sz w:val="22"/>
        </w:rPr>
        <w:t>Waarde-risico: HOOG. Bewijs dat AI-model significant beter voorspelt dan ervaren milieu-ingenieur is niet vanzelfsprekend.</w:t>
      </w:r>
    </w:p>
    <w:p>
      <w:pPr>
        <w:pStyle w:val="ListBullet"/>
        <w:spacing w:after="40"/>
      </w:pPr>
      <w:r>
        <w:rPr>
          <w:sz w:val="22"/>
        </w:rPr>
        <w:t>Levensvatbaarheid-risico: MEDIUM. Cross-dochter project — HYE-Bremcon-samenwerking moet operationeel werken.</w:t>
      </w:r>
    </w:p>
    <w:p>
      <w:pPr>
        <w:spacing w:before="160" w:after="40"/>
      </w:pPr>
      <w:r>
        <w:rPr>
          <w:b/>
          <w:color w:val="B8A06E"/>
          <w:sz w:val="23"/>
        </w:rPr>
        <w:t>Validatie-tests</w:t>
      </w:r>
    </w:p>
    <w:p>
      <w:pPr>
        <w:pStyle w:val="ListNumber"/>
        <w:spacing w:after="40"/>
      </w:pPr>
      <w:r>
        <w:rPr>
          <w:sz w:val="22"/>
        </w:rPr>
        <w:t>Hindsight-test (€10-€20k, 6 weken): pas een AI-model toe op historische data van 5 afgesloten projecten. Vergelijk voorspelling met werkelijke uitkomst. Significantie-toets.</w:t>
      </w:r>
    </w:p>
    <w:p>
      <w:pPr>
        <w:pStyle w:val="ListNumber"/>
        <w:spacing w:after="40"/>
      </w:pPr>
      <w:r>
        <w:rPr>
          <w:sz w:val="22"/>
        </w:rPr>
        <w:t>Parallel-test (€30-€80k, 3-6 maanden): op één lopend project zowel klassieke aanpak als AI-aanpak uitvoeren. Meet kosten, snelheid, accuraatheid.</w:t>
      </w:r>
    </w:p>
    <w:p>
      <w:pPr>
        <w:pStyle w:val="ListNumber"/>
        <w:spacing w:after="40"/>
      </w:pPr>
      <w:r>
        <w:rPr>
          <w:sz w:val="22"/>
        </w:rPr>
        <w:t>Commerciële test (€20-€40k, 8 weken): aanbieden aan twee externe aannemers tegen vergoeding per analyse. Beoordeel betalingsbereidheid.</w:t>
      </w:r>
    </w:p>
    <w:p>
      <w:pPr>
        <w:spacing w:before="160" w:after="40"/>
      </w:pPr>
      <w:r>
        <w:rPr>
          <w:b/>
          <w:color w:val="B8A06E"/>
          <w:sz w:val="23"/>
        </w:rPr>
        <w:t>Exit-criteria</w:t>
      </w:r>
    </w:p>
    <w:p>
      <w:pPr>
        <w:pStyle w:val="ListBullet"/>
        <w:spacing w:after="40"/>
      </w:pPr>
      <w:r>
        <w:rPr>
          <w:sz w:val="22"/>
        </w:rPr>
        <w:t>Hindsight-test toont geen statistisch significant verschil: stop of herontwerp model.</w:t>
      </w:r>
    </w:p>
    <w:p>
      <w:pPr>
        <w:pStyle w:val="ListBullet"/>
        <w:spacing w:after="40"/>
      </w:pPr>
      <w:r>
        <w:rPr>
          <w:sz w:val="22"/>
        </w:rPr>
        <w:t>Parallel-test toont AI-kosten hoger dan klassieke: levensvatbaarheid faalt.</w:t>
      </w:r>
    </w:p>
    <w:p>
      <w:pPr>
        <w:pStyle w:val="ListBullet"/>
        <w:spacing w:after="40"/>
      </w:pPr>
      <w:r>
        <w:rPr>
          <w:sz w:val="22"/>
        </w:rPr>
        <w:t>Geen externe betalingsbereidheid bij commerciële test: blijf het intern gebruiken, schaal niet op.</w:t>
      </w:r>
    </w:p>
    <w:p>
      <w:pPr>
        <w:spacing w:before="280" w:after="80"/>
      </w:pPr>
      <w:r>
        <w:rPr>
          <w:b/>
          <w:color w:val="1B2A49"/>
          <w:sz w:val="28"/>
        </w:rPr>
        <w:t>Cross-case validatie  —  wat alle drie moeten passeren</w:t>
      </w:r>
    </w:p>
    <w:p>
      <w:pPr>
        <w:spacing w:before="160" w:after="40"/>
      </w:pPr>
      <w:r>
        <w:rPr>
          <w:b/>
          <w:color w:val="B8A06E"/>
          <w:sz w:val="23"/>
        </w:rPr>
        <w:t>De gemeenschappelijke aannames</w:t>
      </w:r>
    </w:p>
    <w:p>
      <w:pPr>
        <w:pStyle w:val="ListBullet"/>
        <w:spacing w:after="40"/>
      </w:pPr>
      <w:r>
        <w:rPr>
          <w:sz w:val="22"/>
        </w:rPr>
        <w:t>H2O Group is bereid een AI/data-cel op holdingniveau op te richten.</w:t>
      </w:r>
    </w:p>
    <w:p>
      <w:pPr>
        <w:pStyle w:val="ListBullet"/>
        <w:spacing w:after="40"/>
      </w:pPr>
      <w:r>
        <w:rPr>
          <w:sz w:val="22"/>
        </w:rPr>
        <w:t>Eén van de vier MBO-leiders neemt eigenaarschap.</w:t>
      </w:r>
    </w:p>
    <w:p>
      <w:pPr>
        <w:pStyle w:val="ListBullet"/>
        <w:spacing w:after="40"/>
      </w:pPr>
      <w:r>
        <w:rPr>
          <w:sz w:val="22"/>
        </w:rPr>
        <w:t>HYE is bereid 12-18 maanden verlies-investering te dragen vóór commercieel rendement.</w:t>
      </w:r>
    </w:p>
    <w:p>
      <w:pPr>
        <w:pStyle w:val="ListBullet"/>
        <w:spacing w:after="40"/>
      </w:pPr>
      <w:r>
        <w:rPr>
          <w:sz w:val="22"/>
        </w:rPr>
        <w:t>Bemensings-capaciteit (3-5 mensen) kan in 6-12 maanden gevuld worden in de Vlaamse arbeidsmarkt.</w:t>
      </w:r>
    </w:p>
    <w:p>
      <w:pPr>
        <w:pStyle w:val="ListBullet"/>
        <w:spacing w:after="40"/>
      </w:pPr>
      <w:r>
        <w:rPr>
          <w:sz w:val="22"/>
        </w:rPr>
        <w:t>Een twin-platform-partner is bereid mee te bewegen (voorwaarden, prijs, exclusiviteit).</w:t>
      </w:r>
    </w:p>
    <w:p>
      <w:pPr>
        <w:spacing w:before="160" w:after="40"/>
      </w:pPr>
      <w:r>
        <w:rPr>
          <w:b/>
          <w:color w:val="B8A06E"/>
          <w:sz w:val="23"/>
        </w:rPr>
        <w:t>Boardroom-test (week 0)</w:t>
      </w:r>
    </w:p>
    <w:p>
      <w:pPr>
        <w:spacing w:after="120" w:line="288" w:lineRule="auto"/>
      </w:pPr>
      <w:r>
        <w:rPr>
          <w:b w:val="0"/>
          <w:i w:val="0"/>
          <w:sz w:val="22"/>
        </w:rPr>
        <w:t>Vóór alle externe validatie: één boardroom-sessie met de vier MBO-leiders die deze vijf gemeenschappelijke aannames toetst. Antwoord 'nee' op minstens twee = stop. Antwoord 'ja' op alle vijf = doorgaan met externe tests. Antwoord 'misschien' = zes weken extra mandaatklaring.</w:t>
      </w:r>
    </w:p>
    <w:p>
      <w:pPr>
        <w:spacing w:before="280" w:after="80"/>
      </w:pPr>
      <w:r>
        <w:rPr>
          <w:b/>
          <w:color w:val="1B2A49"/>
          <w:sz w:val="28"/>
        </w:rPr>
        <w:t>Risk reversal — hoe trek je risico naar je toe in plaats van het te ontwijken</w:t>
      </w:r>
    </w:p>
    <w:p>
      <w:pPr>
        <w:pStyle w:val="ListBullet"/>
        <w:spacing w:after="40"/>
      </w:pPr>
      <w:r>
        <w:rPr>
          <w:sz w:val="22"/>
        </w:rPr>
        <w:t>Eerste twin-pilot gratis voor aanbesteder die referentie wil zijn (klassiek loss-leader).</w:t>
      </w:r>
    </w:p>
    <w:p>
      <w:pPr>
        <w:pStyle w:val="ListBullet"/>
        <w:spacing w:after="40"/>
      </w:pPr>
      <w:r>
        <w:rPr>
          <w:sz w:val="22"/>
        </w:rPr>
        <w:t>Money-back-garantie op eerste predictive-maintenance-abonnement (€0 als beheerder na 12 maanden geen waarde ziet).</w:t>
      </w:r>
    </w:p>
    <w:p>
      <w:pPr>
        <w:pStyle w:val="ListBullet"/>
        <w:spacing w:after="40"/>
      </w:pPr>
      <w:r>
        <w:rPr>
          <w:sz w:val="22"/>
        </w:rPr>
        <w:t>Co-investerings-aanbod met verzekeraar voor risk-shared model.</w:t>
      </w:r>
    </w:p>
    <w:p>
      <w:pPr>
        <w:pStyle w:val="ListBullet"/>
        <w:spacing w:after="40"/>
      </w:pPr>
      <w:r>
        <w:rPr>
          <w:sz w:val="22"/>
        </w:rPr>
        <w:t>Open-data-belofte: 70% van twin-data wordt na 2 jaar publiek beschikbaar. Hoge geloofwaardigheid, lage commerciële schade.</w:t>
      </w:r>
    </w:p>
    <w:p>
      <w:pPr>
        <w:spacing w:before="280" w:after="80"/>
      </w:pPr>
      <w:r>
        <w:rPr>
          <w:b/>
          <w:color w:val="1B2A49"/>
          <w:sz w:val="28"/>
        </w:rPr>
        <w:t>Het 6-maanden validatieplan — concreet</w:t>
      </w:r>
    </w:p>
    <w:p>
      <w:pPr>
        <w:spacing w:before="160" w:after="40"/>
      </w:pPr>
      <w:r>
        <w:rPr>
          <w:b/>
          <w:color w:val="B8A06E"/>
          <w:sz w:val="23"/>
        </w:rPr>
        <w:t>Maand 1</w:t>
      </w:r>
    </w:p>
    <w:p>
      <w:pPr>
        <w:pStyle w:val="ListBullet"/>
        <w:spacing w:after="40"/>
      </w:pPr>
      <w:r>
        <w:rPr>
          <w:sz w:val="22"/>
        </w:rPr>
        <w:t>Boardroom-test van gemeenschappelijke aannames.</w:t>
      </w:r>
    </w:p>
    <w:p>
      <w:pPr>
        <w:pStyle w:val="ListBullet"/>
        <w:spacing w:after="40"/>
      </w:pPr>
      <w:r>
        <w:rPr>
          <w:sz w:val="22"/>
        </w:rPr>
        <w:t>Werving externe begeleider voor validatie-aanpak.</w:t>
      </w:r>
    </w:p>
    <w:p>
      <w:pPr>
        <w:pStyle w:val="ListBullet"/>
        <w:spacing w:after="40"/>
      </w:pPr>
      <w:r>
        <w:rPr>
          <w:sz w:val="22"/>
        </w:rPr>
        <w:t>Long-list van interview-targets (10 aanbesteders, 5 verzekeraars, 3 twin-platform-leveranciers).</w:t>
      </w:r>
    </w:p>
    <w:p>
      <w:pPr>
        <w:spacing w:before="160" w:after="40"/>
      </w:pPr>
      <w:r>
        <w:rPr>
          <w:b/>
          <w:color w:val="B8A06E"/>
          <w:sz w:val="23"/>
        </w:rPr>
        <w:t>Maand 2-3</w:t>
      </w:r>
    </w:p>
    <w:p>
      <w:pPr>
        <w:pStyle w:val="ListBullet"/>
        <w:spacing w:after="40"/>
      </w:pPr>
      <w:r>
        <w:rPr>
          <w:sz w:val="22"/>
        </w:rPr>
        <w:t>Wens-test Case A (interviews).</w:t>
      </w:r>
    </w:p>
    <w:p>
      <w:pPr>
        <w:pStyle w:val="ListBullet"/>
        <w:spacing w:after="40"/>
      </w:pPr>
      <w:r>
        <w:rPr>
          <w:sz w:val="22"/>
        </w:rPr>
        <w:t>Hindsight-test Case C (AI op historische data).</w:t>
      </w:r>
    </w:p>
    <w:p>
      <w:pPr>
        <w:pStyle w:val="ListBullet"/>
        <w:spacing w:after="40"/>
      </w:pPr>
      <w:r>
        <w:rPr>
          <w:sz w:val="22"/>
        </w:rPr>
        <w:t>Fake-door-test Case B (landingspagina + outreach).</w:t>
      </w:r>
    </w:p>
    <w:p>
      <w:pPr>
        <w:spacing w:before="160" w:after="40"/>
      </w:pPr>
      <w:r>
        <w:rPr>
          <w:b/>
          <w:color w:val="B8A06E"/>
          <w:sz w:val="23"/>
        </w:rPr>
        <w:t>Maand 4-5</w:t>
      </w:r>
    </w:p>
    <w:p>
      <w:pPr>
        <w:pStyle w:val="ListBullet"/>
        <w:spacing w:after="40"/>
      </w:pPr>
      <w:r>
        <w:rPr>
          <w:sz w:val="22"/>
        </w:rPr>
        <w:t>Vraag-test Case A (one-pager bij aanbesteders).</w:t>
      </w:r>
    </w:p>
    <w:p>
      <w:pPr>
        <w:pStyle w:val="ListBullet"/>
        <w:spacing w:after="40"/>
      </w:pPr>
      <w:r>
        <w:rPr>
          <w:sz w:val="22"/>
        </w:rPr>
        <w:t>Concierge-aanbod Case B aan één beheerder.</w:t>
      </w:r>
    </w:p>
    <w:p>
      <w:pPr>
        <w:pStyle w:val="ListBullet"/>
        <w:spacing w:after="40"/>
      </w:pPr>
      <w:r>
        <w:rPr>
          <w:sz w:val="22"/>
        </w:rPr>
        <w:t>Parallel-test Case C op één lopend project.</w:t>
      </w:r>
    </w:p>
    <w:p>
      <w:pPr>
        <w:spacing w:before="160" w:after="40"/>
      </w:pPr>
      <w:r>
        <w:rPr>
          <w:b/>
          <w:color w:val="B8A06E"/>
          <w:sz w:val="23"/>
        </w:rPr>
        <w:t>Maand 6</w:t>
      </w:r>
    </w:p>
    <w:p>
      <w:pPr>
        <w:pStyle w:val="ListBullet"/>
        <w:spacing w:after="40"/>
      </w:pPr>
      <w:r>
        <w:rPr>
          <w:sz w:val="22"/>
        </w:rPr>
        <w:t>Synthese: welke cases gaan door, welke vallen weg.</w:t>
      </w:r>
    </w:p>
    <w:p>
      <w:pPr>
        <w:pStyle w:val="ListBullet"/>
        <w:spacing w:after="40"/>
      </w:pPr>
      <w:r>
        <w:rPr>
          <w:sz w:val="22"/>
        </w:rPr>
        <w:t>Beslissing over budget-vrijgave MVP-fase (1-1,5M euro).</w:t>
      </w:r>
    </w:p>
    <w:p>
      <w:pPr>
        <w:pStyle w:val="ListBullet"/>
        <w:spacing w:after="40"/>
      </w:pPr>
      <w:r>
        <w:rPr>
          <w:sz w:val="22"/>
        </w:rPr>
        <w:t>Communicatie-plan voor publieke aankondiging in 2027.</w:t>
      </w:r>
    </w:p>
    <w:p>
      <w:pPr>
        <w:spacing w:before="280" w:after="80"/>
      </w:pPr>
      <w:r>
        <w:rPr>
          <w:b/>
          <w:color w:val="1B2A49"/>
          <w:sz w:val="28"/>
        </w:rPr>
        <w:t>Drie vergeten vragen</w:t>
      </w:r>
    </w:p>
    <w:p>
      <w:pPr>
        <w:spacing w:after="120" w:line="288" w:lineRule="auto"/>
      </w:pPr>
      <w:r>
        <w:rPr>
          <w:b w:val="0"/>
          <w:i/>
          <w:sz w:val="22"/>
        </w:rPr>
        <w:t>Vragen die in dit dossier niet (genoeg) gesteld werden, en die het verschil maken in het gesprek morgen.</w:t>
      </w:r>
    </w:p>
    <w:p>
      <w:pPr>
        <w:spacing w:after="120"/>
      </w:pPr>
      <w:r>
        <w:rPr>
          <w:b/>
          <w:color w:val="1B2A49"/>
        </w:rPr>
        <w:t xml:space="preserve">1.  </w:t>
      </w:r>
      <w:r>
        <w:rPr>
          <w:sz w:val="22"/>
        </w:rPr>
        <w:t>Wat is de werkelijke kost van validatie-traagheid? Schatting: elke maand uitstel betekent dat de concurrentie-window naar 'eerst zijn' kleiner wordt. Als Besix in september 2026 een twin-claim doet, is HYE's hele V12-strategie gedevalueerd.</w:t>
      </w:r>
    </w:p>
    <w:p>
      <w:pPr>
        <w:spacing w:after="120"/>
      </w:pPr>
      <w:r>
        <w:rPr>
          <w:b/>
          <w:color w:val="1B2A49"/>
        </w:rPr>
        <w:t xml:space="preserve">2.  </w:t>
      </w:r>
      <w:r>
        <w:rPr>
          <w:sz w:val="22"/>
        </w:rPr>
        <w:t>Welke case durven we eerst pijnlijk falen? Want pijnloos falen leert niets. Mijn voorstel: Case B (predictive maintenance-abonnement) is de hardste validatietest — als beheerders niet abonneren, leren we onmiddellijk of het hele lifecycle-verhaal markt heeft.</w:t>
      </w:r>
    </w:p>
    <w:p>
      <w:pPr>
        <w:spacing w:after="120"/>
      </w:pPr>
      <w:r>
        <w:rPr>
          <w:b/>
          <w:color w:val="1B2A49"/>
        </w:rPr>
        <w:t xml:space="preserve">3.  </w:t>
      </w:r>
      <w:r>
        <w:rPr>
          <w:sz w:val="22"/>
        </w:rPr>
        <w:t>Wie buiten HYE bekijkt deze validatie-aanpak en zegt 'maar je vergeet X'? Een externe sparring-partner (Brainwolves zelf, een sectorspecialist, of een PE-investor) zou dit dossier in een uur radicaal scherper kunnen maken — meer dan een interne herlees-ronde.</w:t>
      </w:r>
    </w:p>
    <w:sectPr w:rsidR="00FC693F" w:rsidRPr="0006063C" w:rsidSect="00034616">
      <w:foot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color w:val="555555"/>
        <w:sz w:val="18"/>
      </w:rPr>
      <w:t>Brainwolves · Peter Hoogland · 27 mei 2026 · V13 AI-validatieplan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