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MASTERDOCUMENT-V6 — Methodologie (SBI-barometer)</w:t>
      </w:r>
    </w:p>
    <w:p>
      <w:pPr>
        <w:pStyle w:val="BodyText"/>
        <w:bidi w:val="0"/>
        <w:jc w:val="left"/>
        <w:rPr/>
      </w:pPr>
      <w:r>
        <w:rPr/>
        <w:t xml:space="preserve">Begeleidt </w:t>
      </w:r>
      <w:r>
        <w:rPr>
          <w:rStyle w:val="Strong"/>
        </w:rPr>
        <w:t>HANDOVER-V6</w:t>
      </w:r>
      <w:r>
        <w:rPr/>
        <w:t xml:space="preserve">. Vervangt/actualiseert </w:t>
      </w:r>
      <w:r>
        <w:rPr>
          <w:rStyle w:val="SourceText"/>
        </w:rPr>
        <w:t>MASTERDOCUMENT.md</w:t>
      </w:r>
      <w:r>
        <w:rPr/>
        <w:t xml:space="preserve"> + </w:t>
      </w:r>
      <w:r>
        <w:rPr>
          <w:rStyle w:val="SourceText"/>
        </w:rPr>
        <w:t>-v0.4-addendum</w:t>
      </w:r>
      <w:r>
        <w:rPr/>
        <w:t>. Gestuurd door de externe review (</w:t>
      </w:r>
      <w:r>
        <w:rPr>
          <w:rStyle w:val="SourceText"/>
        </w:rPr>
        <w:t>V2 SBI_VERBETERPLAN_CLAUDE_CODE.docx</w:t>
      </w:r>
      <w:r>
        <w:rPr/>
        <w:t>).</w:t>
      </w:r>
    </w:p>
    <w:p>
      <w:pPr>
        <w:pStyle w:val="Heading2"/>
        <w:bidi w:val="0"/>
        <w:jc w:val="left"/>
        <w:rPr/>
      </w:pPr>
      <w:r>
        <w:rPr/>
        <w:t>1. Wat de index meet (eerlijk geformuleerd)</w:t>
      </w:r>
    </w:p>
    <w:p>
      <w:pPr>
        <w:pStyle w:val="BodyText"/>
        <w:bidi w:val="0"/>
        <w:jc w:val="left"/>
        <w:rPr/>
      </w:pPr>
      <w:r>
        <w:rPr/>
        <w:t xml:space="preserve">De SBI meet </w:t>
      </w:r>
      <w:r>
        <w:rPr>
          <w:rStyle w:val="Strong"/>
        </w:rPr>
        <w:t>statistische ongewoonheid van omgevingscondities</w:t>
      </w:r>
      <w:r>
        <w:rPr/>
        <w:t xml:space="preserve"> voor heel België — niet individuele of bewezen "stress". De review noemt het claimen van het tweede terwijl je het eerste meet een *naming fallacy* + *ecologische fout*. Publieke subtitel daarom: *"Een barometer voor collectieve blootstelling aan stressverhogende omstandigheden."* (Volledige herpositionering van de naam = §2.1, open.)</w:t>
      </w:r>
    </w:p>
    <w:p>
      <w:pPr>
        <w:pStyle w:val="Heading2"/>
        <w:bidi w:val="0"/>
        <w:jc w:val="left"/>
        <w:rPr/>
      </w:pPr>
      <w:r>
        <w:rPr/>
        <w:t>2. Twee lagen (kernontwerp na V6)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MEETLAAG → het publieke cijfer.</w:t>
      </w:r>
      <w:r>
        <w:rPr/>
        <w:t xml:space="preserve"> Alleen goed-onderbouwde indicatoren (grade A/B/C). Voedt </w:t>
      </w:r>
      <w:r>
        <w:rPr>
          <w:rStyle w:val="SourceText"/>
        </w:rPr>
        <w:t>w_meting</w:t>
      </w:r>
      <w:r>
        <w:rPr/>
        <w:t xml:space="preserve"> / het v0.2-composiet → 1–5-cijfer.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TRIGGER-/DIAGNOSTIEKLAAG → campagnesignalen.</w:t>
      </w:r>
      <w:r>
        <w:rPr/>
        <w:t xml:space="preserve"> Snelle, brede, ook media-signalen. Voedt </w:t>
      </w:r>
      <w:r>
        <w:rPr>
          <w:rStyle w:val="SourceText"/>
        </w:rPr>
        <w:t>w_trigger</w:t>
      </w:r>
      <w:r>
        <w:rPr/>
        <w:t xml:space="preserve"> + per-indicator spikes. Hier mag het "minder wetenschappelijk" zijn. </w:t>
      </w:r>
    </w:p>
    <w:p>
      <w:pPr>
        <w:pStyle w:val="BodyText"/>
        <w:bidi w:val="0"/>
        <w:jc w:val="left"/>
        <w:rPr/>
      </w:pPr>
      <w:r>
        <w:rPr/>
        <w:t xml:space="preserve">Dit lost de spanning op: het cijfer is verdedigbaar (media eruit) terwijl de trigger snel/gevoelig blijft. Mechanisme: </w:t>
      </w:r>
      <w:r>
        <w:rPr>
          <w:rStyle w:val="SourceText"/>
        </w:rPr>
        <w:t>w_meting</w:t>
      </w:r>
      <w:r>
        <w:rPr/>
        <w:t xml:space="preserve"> ≠ </w:t>
      </w:r>
      <w:r>
        <w:rPr>
          <w:rStyle w:val="SourceText"/>
        </w:rPr>
        <w:t>w_trigger</w:t>
      </w:r>
      <w:r>
        <w:rPr/>
        <w:t>, en triggers vuren per-indicator (</w:t>
      </w:r>
      <w:r>
        <w:rPr>
          <w:rStyle w:val="SourceText"/>
        </w:rPr>
        <w:t>delta_1d</w:t>
      </w:r>
      <w:r>
        <w:rPr/>
        <w:t>/</w:t>
      </w:r>
      <w:r>
        <w:rPr>
          <w:rStyle w:val="SourceText"/>
        </w:rPr>
        <w:t>percentile_lang</w:t>
      </w:r>
      <w:r>
        <w:rPr/>
        <w:t>), niet via het meet-gewicht.</w:t>
      </w:r>
    </w:p>
    <w:p>
      <w:pPr>
        <w:pStyle w:val="Heading2"/>
        <w:bidi w:val="0"/>
        <w:jc w:val="left"/>
        <w:rPr/>
      </w:pPr>
      <w:r>
        <w:rPr/>
        <w:t>3. Evidence-grade A/B/C/D (review §3, ingevoerd V6)</w:t>
      </w:r>
    </w:p>
    <w:tbl>
      <w:tblPr>
        <w:tblW w:w="1020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04"/>
        <w:gridCol w:w="6223"/>
        <w:gridCol w:w="3378"/>
      </w:tblGrid>
      <w:tr>
        <w:trPr/>
        <w:tc>
          <w:tcPr>
            <w:tcW w:w="60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Grade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Betekenis</w:t>
            </w:r>
          </w:p>
        </w:tc>
        <w:tc>
          <w:tcPr>
            <w:tcW w:w="337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Meet-gewicht</w:t>
            </w:r>
          </w:p>
        </w:tc>
      </w:tr>
      <w:tr>
        <w:trPr/>
        <w:tc>
          <w:tcPr>
            <w:tcW w:w="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Sterk, gerepliceerd, populatie-valide</w:t>
            </w:r>
          </w:p>
        </w:tc>
        <w:tc>
          <w:tcPr>
            <w:tcW w:w="33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</w:tr>
      <w:tr>
        <w:trPr/>
        <w:tc>
          <w:tcPr>
            <w:tcW w:w="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Consistent observationeel/zelfgerapporteerd</w:t>
            </w:r>
          </w:p>
        </w:tc>
        <w:tc>
          <w:tcPr>
            <w:tcW w:w="33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Zwak/gedateerd/subpopulatie/analoog</w:t>
            </w:r>
          </w:p>
        </w:tc>
        <w:tc>
          <w:tcPr>
            <w:tcW w:w="33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Meet iets anders dan stress (mediatoon, zoekgedrag) of bron weerlegt de claim</w:t>
            </w:r>
          </w:p>
        </w:tc>
        <w:tc>
          <w:tcPr>
            <w:tcW w:w="33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0</w:t>
            </w:r>
            <w:r>
              <w:rPr/>
              <w:t xml:space="preserve"> (uit het cijfer; blijft trigger/diagnostisch)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D-grade nu:</w:t>
      </w:r>
      <w:r>
        <w:rPr/>
        <w:t xml:space="preserve"> </w:t>
      </w:r>
      <w:r>
        <w:rPr>
          <w:rStyle w:val="SourceText"/>
        </w:rPr>
        <w:t>I-D5-001</w:t>
      </w:r>
      <w:r>
        <w:rPr/>
        <w:t xml:space="preserve"> (nieuwstoon), </w:t>
      </w:r>
      <w:r>
        <w:rPr>
          <w:rStyle w:val="SourceText"/>
        </w:rPr>
        <w:t>I-D5-002</w:t>
      </w:r>
      <w:r>
        <w:rPr/>
        <w:t xml:space="preserve"> (wikipedia-aandacht), </w:t>
      </w:r>
      <w:r>
        <w:rPr>
          <w:rStyle w:val="SourceText"/>
        </w:rPr>
        <w:t>I-D3-003</w:t>
      </w:r>
      <w:r>
        <w:rPr/>
        <w:t xml:space="preserve"> (ontslagen-proxy). </w:t>
      </w:r>
      <w:r>
        <w:rPr>
          <w:rStyle w:val="SourceText"/>
        </w:rPr>
        <w:t>I-D5-003</w:t>
      </w:r>
      <w:r>
        <w:rPr/>
        <w:t xml:space="preserve"> (échte collectieve gebeurtenissen) blijft </w:t>
      </w:r>
      <w:r>
        <w:rPr>
          <w:rStyle w:val="Strong"/>
        </w:rPr>
        <w:t>B</w:t>
      </w:r>
      <w:r>
        <w:rPr/>
        <w:t xml:space="preserve">. Volledige hergradering van álle 24 per review §3.2 (verkeer→C, pollen→C, koude→C, daglicht→C, …) is een </w:t>
      </w:r>
      <w:r>
        <w:rPr>
          <w:rStyle w:val="Strong"/>
        </w:rPr>
        <w:t>open</w:t>
      </w:r>
      <w:r>
        <w:rPr/>
        <w:t xml:space="preserve"> vervolgstap.</w:t>
      </w:r>
    </w:p>
    <w:p>
      <w:pPr>
        <w:pStyle w:val="Heading2"/>
        <w:bidi w:val="0"/>
        <w:jc w:val="left"/>
        <w:rPr/>
      </w:pPr>
      <w:r>
        <w:rPr/>
        <w:t>4. Statistiek (na V6)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Robuuste z</w:t>
      </w:r>
      <w:r>
        <w:rPr/>
        <w:t xml:space="preserve">: mediaan + MAD×1,4826 (= 1/0,6745, zat er al in). Bij MAD=0 (telt-indicatoren): fallback </w:t>
      </w:r>
      <w:r>
        <w:rPr>
          <w:rStyle w:val="Strong"/>
        </w:rPr>
        <w:t>IQR/1,349 → SD → NaN</w:t>
      </w:r>
      <w:r>
        <w:rPr/>
        <w:t xml:space="preserve">. NaN = "geen schaal" → indicator "ontbreekt" (niet stil 0/"normaal"). Winsor ±3 → geen ±∞.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Percentiel/tier lookahead-vrij</w:t>
      </w:r>
      <w:r>
        <w:rPr/>
        <w:t xml:space="preserve">: dag t weegt enkel tegen data ≤ t. Rollende baselines: v0.2 ~24m; v0.4-kern z_kort ~18m / z_lang ~120m.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Onvoldoende historie</w:t>
      </w:r>
      <w:r>
        <w:rPr/>
        <w:t xml:space="preserve"> (&lt;30 punten) → "ontbreekt", uitgesloten uit het composiet.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Drempels NOG NIET bevroren</w:t>
      </w:r>
      <w:r>
        <w:rPr/>
        <w:t xml:space="preserve">, </w:t>
      </w:r>
      <w:r>
        <w:rPr>
          <w:rStyle w:val="SourceText"/>
        </w:rPr>
        <w:t>mode: test</w:t>
      </w:r>
      <w:r>
        <w:rPr/>
        <w:t xml:space="preserve">. Backtest 742d (na §3): ~68% groen / ~26% oranje / ~6% rood; triggers ~382 (indicator.spike 148) — campagnegevoeligheid intact. </w:t>
      </w:r>
    </w:p>
    <w:p>
      <w:pPr>
        <w:pStyle w:val="Heading2"/>
        <w:bidi w:val="0"/>
        <w:jc w:val="left"/>
        <w:rPr/>
      </w:pPr>
      <w:r>
        <w:rPr/>
        <w:t>5. Pre-registratie-amendementen (doc 00 §13, grond A2)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Verkeer I-D2-001 → jaar-op-jaar % (YoY)</w:t>
      </w:r>
      <w:r>
        <w:rPr/>
        <w:t xml:space="preserve"> i.p.v. niveau. Reden: een MAD-Z op een stijgende reeks (604→952) vlagt het nieuwste jaar permanent als "extreem" — een trend-artefact, geen signaal. YoY (2024 = +12,7% → z ~0) is een eerlijke maat. *Prijs:* het absolute recordniveau telt niet meer als grondlast — alleen abnormale groei. (Eerder: Pad A = officiële filezwaarte als jaarmaat; er is geen publiek machine-leesbare dag/maand-reeks.)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§3 media uit het cijfer</w:t>
      </w:r>
      <w:r>
        <w:rPr/>
        <w:t xml:space="preserve">: I-D5-001, I-D5-002 → D. Reden: media-toon/aandacht ≠ stress (Marin 2012, Lazer 2014). Blijven trigger/diagnostisch.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Ontslagen I-D3-003 → gedowngraded (D)</w:t>
      </w:r>
      <w:r>
        <w:rPr/>
        <w:t xml:space="preserve">: geen automatiseerbare echte feed (FOD WASO enkel kwartaal-PDF); de werkloosheidsgraad-delta is een proxy voor iets anders. Niet meer in het cijfer.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(Eerder geldig: I-D5-003 via GDELT-volume; brandstof via ECB-verankering.) </w:t>
      </w:r>
    </w:p>
    <w:p>
      <w:pPr>
        <w:pStyle w:val="Heading2"/>
        <w:bidi w:val="0"/>
        <w:jc w:val="left"/>
        <w:rPr/>
      </w:pPr>
      <w:r>
        <w:rPr/>
        <w:t>6. Open methodologie (volgende fasen)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Fase 2 rest:</w:t>
      </w:r>
      <w:r>
        <w:rPr/>
        <w:t xml:space="preserve"> §2.1 construct hernoemen; §2.2 allostatic load uit de operationele fundering (hooguit losse inspiratie); §6 copy-deck (overspannen claims → eerlijk); volledige A/B/C/D-hergradering van alle 24.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Fase 3:</w:t>
      </w:r>
      <w:r>
        <w:rPr/>
        <w:t xml:space="preserve"> eCDF/CISS-normalisatie (i.p.v. korte-baseline-percentielen); Monte-Carlo/Sobol-gevoeligheid; échte resample-bootstrap-CI per dag; 1–5-schaal kalibreren op de empirische verdeling; multicollineariteit-audit (Spearman/PCA, formaliseer de D5-decorrelatie).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Fase 4:</w:t>
      </w:r>
      <w:r>
        <w:rPr/>
        <w:t xml:space="preserve"> criteriumvalidatie tegen onafhankelijke BE-uitkomstmaten (Tele-Onthaal 106/Zelfmoordlijn 1813, RIZIV psychosociale arbeidsongeschiktheid, Sciensano BELHEALTH). </w:t>
      </w:r>
    </w:p>
    <w:p>
      <w:pPr>
        <w:pStyle w:val="Heading2"/>
        <w:bidi w:val="0"/>
        <w:jc w:val="left"/>
        <w:rPr/>
      </w:pPr>
      <w:r>
        <w:rPr/>
        <w:t>7. Bronnen (kern van de review)</w:t>
      </w:r>
    </w:p>
    <w:p>
      <w:pPr>
        <w:pStyle w:val="BodyText"/>
        <w:bidi w:val="0"/>
        <w:spacing w:before="0" w:after="140"/>
        <w:jc w:val="left"/>
        <w:rPr/>
      </w:pPr>
      <w:r>
        <w:rPr/>
        <w:t>ECB CISS (WP 1426); OECD/JRC Handbook composite indicators; Iglewicz &amp; Hoaglin (modified z); Robinson 1950 (ecological fallacy); Marin 2012; Lazer 2014 (Google Flu); Generous 2014 (Wikipedia surveillance); Novaco 1990 (verkeer); Hansen 2008 (hitte). Volledige lijst in de review-docx.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nl-B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Calibri;Arial;sans-serif" w:hAnsi="Calibri;Arial;sans-serif" w:eastAsia="Calibri;Arial;sans-serif" w:cs="Calibri;Arial;sans-serif"/>
      <w:color w:val="auto"/>
      <w:sz w:val="22"/>
      <w:szCs w:val="22"/>
      <w:lang w:val="nl-BE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spacing w:before="320" w:after="120"/>
      <w:outlineLvl w:val="1"/>
    </w:pPr>
    <w:rPr>
      <w:rFonts w:ascii="Liberation Serif" w:hAnsi="Liberation Serif" w:eastAsia="Songti SC" w:cs="Arial Unicode MS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hd w:fill="F3F3F3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  <w:jc w:val="left"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EEEEE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nl-BE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