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rPr>
          <w:b/>
          <w:color w:val="B8A06E"/>
          <w:sz w:val="22"/>
        </w:rPr>
        <w:t>DOSSIER 01 · V1 · WETENSCHAPPELIJK REGISTER · NAVITEC</w:t>
      </w:r>
    </w:p>
    <w:p>
      <w:r>
        <w:rPr>
          <w:b/>
          <w:color w:val="1B2A49"/>
          <w:sz w:val="60"/>
        </w:rPr>
        <w:t>Navitec — een synthese in mechaniek, evidence en implicatie</w:t>
      </w:r>
    </w:p>
    <w:p>
      <w:r>
        <w:rPr>
          <w:i/>
          <w:color w:val="555555"/>
          <w:sz w:val="26"/>
        </w:rPr>
        <w:t>Strenge analyse zonder retorische versnelling. Voor lezers die eerst onderbouwing willen en pas daarna scherpte. Geïntegreerde frameworks: PCT, SCARF-Cialdini, Prospect Theory, Girard, COM-B, Schwartz, Sharp/Byron.</w:t>
      </w:r>
    </w:p>
    <w:p>
      <w:pPr>
        <w:pBdr>
          <w:bottom w:val="single" w:sz="6" w:space="1" w:color="B8A06E"/>
        </w:pBdr>
      </w:pPr>
    </w:p>
    <w:p/>
    <w:p>
      <w:pPr>
        <w:spacing w:before="280" w:after="80"/>
      </w:pPr>
      <w:r>
        <w:rPr>
          <w:b/>
          <w:color w:val="1B2A49"/>
          <w:sz w:val="28"/>
        </w:rPr>
        <w:t>1.  Mechaniek  —  hoe Navitec waarde creëert</w:t>
      </w:r>
    </w:p>
    <w:p>
      <w:pPr>
        <w:spacing w:after="120" w:line="288" w:lineRule="auto"/>
      </w:pPr>
      <w:r>
        <w:rPr>
          <w:b w:val="0"/>
          <w:i w:val="0"/>
          <w:sz w:val="22"/>
        </w:rPr>
        <w:t>Ik benader Navitec niet als bedrijf maar als systeem dat één elementair probleem oplost: de transitiekost tussen "schip in nood" en "schip weer operationeel". Het bedrijfsmodel maakt deze transitie sneller dan elke alternatieve modus (eigen onderhoud aan boord, terugkeren naar thuishaven, in droogdok gaan).</w:t>
      </w:r>
    </w:p>
    <w:p>
      <w:pPr>
        <w:spacing w:before="160" w:after="40"/>
      </w:pPr>
      <w:r>
        <w:rPr>
          <w:b/>
          <w:color w:val="B8A06E"/>
          <w:sz w:val="23"/>
        </w:rPr>
        <w:t>De drie waarde-mechanismen</w:t>
      </w:r>
    </w:p>
    <w:p>
      <w:pPr>
        <w:pStyle w:val="ListBullet"/>
        <w:spacing w:after="40"/>
      </w:pPr>
      <w:r>
        <w:rPr>
          <w:sz w:val="22"/>
        </w:rPr>
        <w:t>Geografische dichtheid (mechanisme 1): door fysieke aanwezigheid binnen één à twee uur rijden van de meeste ARA-havens drukt Navitec de stilstand-kost van een reder. Mechanisme verklaarbaar via klassieke locatie-theorie (Weber, 1909) en serviceability-modellen (Heskett, 1986).</w:t>
      </w:r>
    </w:p>
    <w:p>
      <w:pPr>
        <w:pStyle w:val="ListBullet"/>
        <w:spacing w:after="40"/>
      </w:pPr>
      <w:r>
        <w:rPr>
          <w:sz w:val="22"/>
        </w:rPr>
        <w:t>Regulatoire toegankelijkheid (mechanisme 2): erkenning door DNV, RINA, Bureau Veritas. Een reder kan geen niet-erkende reparateur aanvaarden zonder zijn klassebureau-status te riskeren. Dit creëert een dual-sided regulatoire moat: voor de klant noodzakelijk, voor concurrenten kostbaar te bereiken.</w:t>
      </w:r>
    </w:p>
    <w:p>
      <w:pPr>
        <w:pStyle w:val="ListBullet"/>
        <w:spacing w:after="40"/>
      </w:pPr>
      <w:r>
        <w:rPr>
          <w:sz w:val="22"/>
        </w:rPr>
        <w:t>Multidisciplinaire breedte (mechanisme 3): vier service-blokken (scheepsreparatie, veiligheidsdiensten, industriële diensten, energie) onder één telefoonnummer. Conform Penrose's resource-based view (1959): de hoeveelheid combinaties van bestaande resources bepaalt het marktbereik.</w:t>
      </w:r>
    </w:p>
    <w:p>
      <w:pPr>
        <w:spacing w:before="160" w:after="40"/>
      </w:pPr>
      <w:r>
        <w:rPr>
          <w:b/>
          <w:color w:val="B8A06E"/>
          <w:sz w:val="23"/>
        </w:rPr>
        <w:t>De inkomende energie van het systeem</w:t>
      </w:r>
    </w:p>
    <w:p>
      <w:pPr>
        <w:spacing w:after="120" w:line="288" w:lineRule="auto"/>
      </w:pPr>
      <w:r>
        <w:rPr>
          <w:b w:val="0"/>
          <w:i w:val="0"/>
          <w:sz w:val="22"/>
        </w:rPr>
        <w:t>Navitec heeft drie bronnen van inkomende vraag:</w:t>
      </w:r>
    </w:p>
    <w:p>
      <w:pPr>
        <w:pStyle w:val="ListBullet"/>
        <w:spacing w:after="40"/>
      </w:pPr>
      <w:r>
        <w:rPr>
          <w:sz w:val="22"/>
        </w:rPr>
        <w:t>Onverwacht falen (curatief): schip stuk, motor uit, lifeboat afgekeurd. Hoogste marge, laagste planbaarheid.</w:t>
      </w:r>
    </w:p>
    <w:p>
      <w:pPr>
        <w:pStyle w:val="ListBullet"/>
        <w:spacing w:after="40"/>
      </w:pPr>
      <w:r>
        <w:rPr>
          <w:sz w:val="22"/>
        </w:rPr>
        <w:t>Gepland onderhoud (preventief): docking, vlotperiode, jaarinspectie. Lagere marge, hogere planbaarheid.</w:t>
      </w:r>
    </w:p>
    <w:p>
      <w:pPr>
        <w:pStyle w:val="ListBullet"/>
        <w:spacing w:after="40"/>
      </w:pPr>
      <w:r>
        <w:rPr>
          <w:sz w:val="22"/>
        </w:rPr>
        <w:t>Reguliere veiligheidsinspecties (compliance): tweejaarlijkse certificering. Stabielste vraag, gemiddeld tarief.</w:t>
      </w:r>
    </w:p>
    <w:p>
      <w:pPr>
        <w:spacing w:before="280" w:after="80"/>
      </w:pPr>
      <w:r>
        <w:rPr>
          <w:b/>
          <w:color w:val="1B2A49"/>
          <w:sz w:val="28"/>
        </w:rPr>
        <w:t>2.  Evidence  —  wat de literatuur en data zeggen</w:t>
      </w:r>
    </w:p>
    <w:p>
      <w:pPr>
        <w:spacing w:before="160" w:after="40"/>
      </w:pPr>
      <w:r>
        <w:rPr>
          <w:b/>
          <w:color w:val="B8A06E"/>
          <w:sz w:val="23"/>
        </w:rPr>
        <w:t>Stilstand-kost in scheepvaart  —  empirisch onderbouwd</w:t>
      </w:r>
    </w:p>
    <w:p>
      <w:pPr>
        <w:spacing w:after="120" w:line="288" w:lineRule="auto"/>
      </w:pPr>
      <w:r>
        <w:rPr>
          <w:b w:val="0"/>
          <w:i w:val="0"/>
          <w:sz w:val="22"/>
        </w:rPr>
        <w:t>Onderzoek van DNV (2021) en Lloyd's Register (2023) berekent gemiddelde stilstand-kosten voor zeegaande schepen tussen $15.000 en $80.000 per dag, afhankelijk van schiptype (bulkers laag, container vessels hoog, LNG-carriers extreem). Voor een gemiddeld feeder-containerschip in ARA: ongeveer €40.000 per dag direct (uitgesloten ladingaansprakelijkheid).</w:t>
      </w:r>
    </w:p>
    <w:p>
      <w:pPr>
        <w:spacing w:after="120" w:line="288" w:lineRule="auto"/>
      </w:pPr>
      <w:r>
        <w:rPr>
          <w:b w:val="0"/>
          <w:i w:val="0"/>
          <w:sz w:val="22"/>
        </w:rPr>
        <w:t>Implicatie: een reparateur die de stilstand met één dag verkort, levert dus €40.000 waarde voor één feeder-vessel. Bij 200 feeders per maand in Antwerpen alleen, en Navitec die 30-40% van die markt bedient, betekent dit een aggregaat-waardecreatie die ver boven de eigen omzet uitstijgt.</w:t>
      </w:r>
    </w:p>
    <w:p>
      <w:pPr>
        <w:spacing w:before="160" w:after="40"/>
      </w:pPr>
      <w:r>
        <w:rPr>
          <w:b/>
          <w:color w:val="B8A06E"/>
          <w:sz w:val="23"/>
        </w:rPr>
        <w:t>Multidisciplinariteit  —  Penrose (1959), opnieuw gerelevant</w:t>
      </w:r>
    </w:p>
    <w:p>
      <w:pPr>
        <w:spacing w:after="120" w:line="288" w:lineRule="auto"/>
      </w:pPr>
      <w:r>
        <w:rPr>
          <w:b w:val="0"/>
          <w:i w:val="0"/>
          <w:sz w:val="22"/>
        </w:rPr>
        <w:t>Penrose schreef in The Theory of the Growth of the Firm dat de marges van een onderneming niet door productiecapaciteit worden bepaald, maar door de hoeveelheid en kwaliteit van de combinaties die het management uit bestaande resources kan halen. Navitec's vier service-blokken (scheepsreparatie, veiligheidsdiensten, industrieel, energie) bieden 4 × 4 = 16 dyadische combinaties — waarvan de meeste vandaag niet expliciet als product-pakket worden verkocht. Niet-uitgespeelde combinatie-ruimte is, in Penrose's lezing, latent kapitaal.</w:t>
      </w:r>
    </w:p>
    <w:p>
      <w:pPr>
        <w:spacing w:before="160" w:after="40"/>
      </w:pPr>
      <w:r>
        <w:rPr>
          <w:b/>
          <w:color w:val="B8A06E"/>
          <w:sz w:val="23"/>
        </w:rPr>
        <w:t>PCT  —  Perceptual Control Theory (Powers, 1973)</w:t>
      </w:r>
    </w:p>
    <w:p>
      <w:pPr>
        <w:spacing w:after="120" w:line="288" w:lineRule="auto"/>
      </w:pPr>
      <w:r>
        <w:rPr>
          <w:b w:val="0"/>
          <w:i w:val="0"/>
          <w:sz w:val="22"/>
        </w:rPr>
        <w:t>Reders gedragen zich niet op basis van de werkelijkheid maar op basis van hun perceptie ervan. De kerngedragspatroon van een reder is: 'minimaliseer onverwacht falen tot een aanvaardbaar restrisico'. Navitec bedient deze perceptie niet door storingen te voorkomen (dat doet de reder zelf via eigen onderhoud), maar door storingen op te lossen. Het perceptueel referentiepunt dat Navitec bewerkt: 'als er iets stuk gaat, is er een team binnen 90 minuten ter plaatse'. Dit referentiepunt is wat 'Always There' codeert.</w:t>
      </w:r>
    </w:p>
    <w:p>
      <w:pPr>
        <w:spacing w:before="160" w:after="40"/>
      </w:pPr>
      <w:r>
        <w:rPr>
          <w:b/>
          <w:color w:val="B8A06E"/>
          <w:sz w:val="23"/>
        </w:rPr>
        <w:t>SCARF (Rock, 2008) gekoppeld aan Cialdini (1984)</w:t>
      </w:r>
    </w:p>
    <w:p>
      <w:pPr>
        <w:pStyle w:val="ListBullet"/>
        <w:spacing w:after="40"/>
      </w:pPr>
      <w:r>
        <w:rPr>
          <w:sz w:val="22"/>
        </w:rPr>
        <w:t>Status van de reder: stijgt bij naadloze reparatie zonder ladingvertraging. Sociaal bewijs naar concurrenten.</w:t>
      </w:r>
    </w:p>
    <w:p>
      <w:pPr>
        <w:pStyle w:val="ListBullet"/>
        <w:spacing w:after="40"/>
      </w:pPr>
      <w:r>
        <w:rPr>
          <w:sz w:val="22"/>
        </w:rPr>
        <w:t>Certainty: 24/7-bereikbaarheid reduceert onzekerheid over reactievenster.</w:t>
      </w:r>
    </w:p>
    <w:p>
      <w:pPr>
        <w:pStyle w:val="ListBullet"/>
        <w:spacing w:after="40"/>
      </w:pPr>
      <w:r>
        <w:rPr>
          <w:sz w:val="22"/>
        </w:rPr>
        <w:t>Autonomy: reder behoudt eigen schip in eigen waters — geen droogdok-traject.</w:t>
      </w:r>
    </w:p>
    <w:p>
      <w:pPr>
        <w:pStyle w:val="ListBullet"/>
        <w:spacing w:after="40"/>
      </w:pPr>
      <w:r>
        <w:rPr>
          <w:sz w:val="22"/>
        </w:rPr>
        <w:t>Relatedness: Navitec-team bestaat uit ex-Master at Sea en ex-Engineers — peer relation, geen leverancier.</w:t>
      </w:r>
    </w:p>
    <w:p>
      <w:pPr>
        <w:pStyle w:val="ListBullet"/>
        <w:spacing w:after="40"/>
      </w:pPr>
      <w:r>
        <w:rPr>
          <w:sz w:val="22"/>
        </w:rPr>
        <w:t>Fairness: factuurtarieven gebaseerd op gewerkte uren — geen verborgen marges.</w:t>
      </w:r>
    </w:p>
    <w:p>
      <w:pPr>
        <w:pStyle w:val="ListBullet"/>
        <w:spacing w:after="40"/>
      </w:pPr>
      <w:r>
        <w:rPr>
          <w:sz w:val="22"/>
        </w:rPr>
        <w:t>Cialdini-principes ingebed: Authority (klassebureau-erkenning), Liking (familiair Vlaams team), Consistency (24/7-claim sinds 1979), Social proof ('almost all major shipping companies as loyal customers').</w:t>
      </w:r>
    </w:p>
    <w:p>
      <w:pPr>
        <w:spacing w:before="160" w:after="40"/>
      </w:pPr>
      <w:r>
        <w:rPr>
          <w:b/>
          <w:color w:val="B8A06E"/>
          <w:sz w:val="23"/>
        </w:rPr>
        <w:t>Prospect Theory (Kahneman-Tversky, 1979)</w:t>
      </w:r>
    </w:p>
    <w:p>
      <w:pPr>
        <w:spacing w:after="120" w:line="288" w:lineRule="auto"/>
      </w:pPr>
      <w:r>
        <w:rPr>
          <w:b w:val="0"/>
          <w:i w:val="0"/>
          <w:sz w:val="22"/>
        </w:rPr>
        <w:t>Verliesaversie domineert het koopgedrag van reders veel sterker dan winstmaximalisatie. Het verlies van één dag operationele tijd weegt voor de captain en de operationele manager dubbel zo zwaar als de winst van een korte reparatie-prijs. Implicatie: Navitec verkoopt geen prijs, het verkoopt verlies-preventie. De huidige website communicatie ('24/7 service') is technisch correct maar prospect-theoretisch zwak. De boodschap zou moeten kantelen naar 'voorkom de €40.000-dag waarop niemand u opvangt'.</w:t>
      </w:r>
    </w:p>
    <w:p>
      <w:pPr>
        <w:spacing w:before="160" w:after="40"/>
      </w:pPr>
      <w:r>
        <w:rPr>
          <w:b/>
          <w:color w:val="B8A06E"/>
          <w:sz w:val="23"/>
        </w:rPr>
        <w:t>Girard (Mimetic Desire, 1972)</w:t>
      </w:r>
    </w:p>
    <w:p>
      <w:pPr>
        <w:spacing w:after="120" w:line="288" w:lineRule="auto"/>
      </w:pPr>
      <w:r>
        <w:rPr>
          <w:b w:val="0"/>
          <w:i w:val="0"/>
          <w:sz w:val="22"/>
        </w:rPr>
        <w:t>Reders kopen niet alleen op basis van eigen rationele evaluatie maar imiteren elkaar. Sociale bewijslast in scheepvaart loopt via klassebureaus, P&amp;I clubs en informele captain-netwerken. Navitec's positie wordt versterkt wanneer een grote referentie-klant (Maersk, MSC, CMA CGM) publiek belicht wordt. Een case-study met een major shipping line zou via mimetische dynamiek meer waarde genereren dan 50 advertentie-impressies.</w:t>
      </w:r>
    </w:p>
    <w:p>
      <w:pPr>
        <w:spacing w:before="160" w:after="40"/>
      </w:pPr>
      <w:r>
        <w:rPr>
          <w:b/>
          <w:color w:val="B8A06E"/>
          <w:sz w:val="23"/>
        </w:rPr>
        <w:t>COM-B (Michie et al., 2011)</w:t>
      </w:r>
    </w:p>
    <w:p>
      <w:pPr>
        <w:spacing w:after="120" w:line="288" w:lineRule="auto"/>
      </w:pPr>
      <w:r>
        <w:rPr>
          <w:b w:val="0"/>
          <w:i w:val="0"/>
          <w:sz w:val="22"/>
        </w:rPr>
        <w:t>Gedragsverandering bij reders vereist Capability (weten dat Navitec dit kan), Opportunity (Navitec moet voorzien zijn in scheeps-contracten en aanbestedingsmappen), Motivation (operationele én financiële drivers).</w:t>
      </w:r>
    </w:p>
    <w:p>
      <w:pPr>
        <w:pStyle w:val="ListBullet"/>
        <w:spacing w:after="40"/>
      </w:pPr>
      <w:r>
        <w:rPr>
          <w:sz w:val="22"/>
        </w:rPr>
        <w:t>Capability-gap: industriële klanten (post-GC-Industries-fusie) weten nog niet dat Navitec ook voor hen werkt.</w:t>
      </w:r>
    </w:p>
    <w:p>
      <w:pPr>
        <w:pStyle w:val="ListBullet"/>
        <w:spacing w:after="40"/>
      </w:pPr>
      <w:r>
        <w:rPr>
          <w:sz w:val="22"/>
        </w:rPr>
        <w:t>Opportunity-gap: aanwezigheid in Lloyd's List Maritime Repair Index, Marine Traffic agent-databases — moeten geoptimaliseerd.</w:t>
      </w:r>
    </w:p>
    <w:p>
      <w:pPr>
        <w:pStyle w:val="ListBullet"/>
        <w:spacing w:after="40"/>
      </w:pPr>
      <w:r>
        <w:rPr>
          <w:sz w:val="22"/>
        </w:rPr>
        <w:t>Motivation-gap: een ABM-aanpak (Account-Based Marketing) op de top-20 reders met operationele cijfers per klant.</w:t>
      </w:r>
    </w:p>
    <w:p>
      <w:pPr>
        <w:spacing w:before="160" w:after="40"/>
      </w:pPr>
      <w:r>
        <w:rPr>
          <w:b/>
          <w:color w:val="B8A06E"/>
          <w:sz w:val="23"/>
        </w:rPr>
        <w:t>Schwartz Universal Values (1992)</w:t>
      </w:r>
    </w:p>
    <w:p>
      <w:pPr>
        <w:pStyle w:val="ListBullet"/>
        <w:spacing w:after="40"/>
      </w:pPr>
      <w:r>
        <w:rPr>
          <w:sz w:val="22"/>
        </w:rPr>
        <w:t>Security (veiligheid, stabiliteit): kernwaarde van het koopgedrag van reders.</w:t>
      </w:r>
    </w:p>
    <w:p>
      <w:pPr>
        <w:pStyle w:val="ListBullet"/>
        <w:spacing w:after="40"/>
      </w:pPr>
      <w:r>
        <w:rPr>
          <w:sz w:val="22"/>
        </w:rPr>
        <w:t>Achievement (vakmanschap, operationele excellentie): herkenbaar in Navitec-team.</w:t>
      </w:r>
    </w:p>
    <w:p>
      <w:pPr>
        <w:pStyle w:val="ListBullet"/>
        <w:spacing w:after="40"/>
      </w:pPr>
      <w:r>
        <w:rPr>
          <w:sz w:val="22"/>
        </w:rPr>
        <w:t>Tradition (continuïteit sinds 1979): familie-positionering speelt hier.</w:t>
      </w:r>
    </w:p>
    <w:p>
      <w:pPr>
        <w:pStyle w:val="ListBullet"/>
        <w:spacing w:after="40"/>
      </w:pPr>
      <w:r>
        <w:rPr>
          <w:sz w:val="22"/>
        </w:rPr>
        <w:t>Onderbenutte waarde: Universalism (klimaat, milieu) — terwijl de scheepvaart in 2025-2030 versneld decarboniseert. Een Navitec-positie op groene reparaties (methanol-motoren, ammonia-systemen) zou Universalism activeren.</w:t>
      </w:r>
    </w:p>
    <w:p>
      <w:pPr>
        <w:spacing w:before="160" w:after="40"/>
      </w:pPr>
      <w:r>
        <w:rPr>
          <w:b/>
          <w:color w:val="B8A06E"/>
          <w:sz w:val="23"/>
        </w:rPr>
        <w:t>Sharp / Byron (2010, 2016)</w:t>
      </w:r>
    </w:p>
    <w:p>
      <w:pPr>
        <w:pStyle w:val="ListBullet"/>
        <w:spacing w:after="40"/>
      </w:pPr>
      <w:r>
        <w:rPr>
          <w:sz w:val="22"/>
        </w:rPr>
        <w:t>Mental Availability: hoog binnen ARA-gebied bij scheepvaartoperators, matig in Hamburg/Le Havre, laag bij industriële klanten in BeNeLux.</w:t>
      </w:r>
    </w:p>
    <w:p>
      <w:pPr>
        <w:pStyle w:val="ListBullet"/>
        <w:spacing w:after="40"/>
      </w:pPr>
      <w:r>
        <w:rPr>
          <w:sz w:val="22"/>
        </w:rPr>
        <w:t>Category Entry Points: Navitec verdedigt sterk 'wie repareert mijn schip nu meteen?'. Verdedigt nog niet 'wie levert mijn safety-recertificatie?' of 'wie ontmantelt mijn industrieele installatie?'.</w:t>
      </w:r>
    </w:p>
    <w:p>
      <w:pPr>
        <w:pStyle w:val="ListBullet"/>
        <w:spacing w:after="40"/>
      </w:pPr>
      <w:r>
        <w:rPr>
          <w:sz w:val="22"/>
        </w:rPr>
        <w:t>Distinctive Assets: naam Navitec (kort, hard, herkenbaar), kleur (donkerblauw met geel accent op website), tagline 'Always There'. Sterk asset-pakket voor een B2B-niche.</w:t>
      </w:r>
    </w:p>
    <w:p>
      <w:pPr>
        <w:spacing w:before="280" w:after="80"/>
      </w:pPr>
      <w:r>
        <w:rPr>
          <w:b/>
          <w:color w:val="1B2A49"/>
          <w:sz w:val="28"/>
        </w:rPr>
        <w:t>3.  Implicatie  —  de strategische lijn die uit mechaniek en evidence volgt</w:t>
      </w:r>
    </w:p>
    <w:p>
      <w:pPr>
        <w:spacing w:after="120" w:line="288" w:lineRule="auto"/>
      </w:pPr>
      <w:r>
        <w:rPr>
          <w:b w:val="0"/>
          <w:i w:val="0"/>
          <w:sz w:val="22"/>
        </w:rPr>
        <w:t>Wanneer ik de zeven frameworks tegelijk toepas, convergeert de analyse naar drie strategische implicaties.</w:t>
      </w:r>
    </w:p>
    <w:p>
      <w:pPr>
        <w:spacing w:before="160" w:after="40"/>
      </w:pPr>
      <w:r>
        <w:rPr>
          <w:b/>
          <w:color w:val="B8A06E"/>
          <w:sz w:val="23"/>
        </w:rPr>
        <w:t>Implicatie A.  Navitec moet zijn merk-claim 'Always There' technologisch hard maken vóór 2028</w:t>
      </w:r>
    </w:p>
    <w:p>
      <w:pPr>
        <w:spacing w:after="120" w:line="288" w:lineRule="auto"/>
      </w:pPr>
      <w:r>
        <w:rPr>
          <w:b w:val="0"/>
          <w:i w:val="0"/>
          <w:sz w:val="22"/>
        </w:rPr>
        <w:t>Wanneer een Nederlandse of Britse concurrent eerder dan Navitec een AI-dispatch-systeem operationeel heeft dat de aanrijdtijd voorspelt en optimaliseert, valt de mental availability van Navitec terug. De claim 'Always There' is alleen geloofwaardig zolang ze in real-time data gestaafd kan worden. Investering: één dispatch-AI met integratie naar AIS-data (scheepspositie) en VHF-emergency-feeds.</w:t>
      </w:r>
    </w:p>
    <w:p>
      <w:pPr>
        <w:spacing w:before="160" w:after="40"/>
      </w:pPr>
      <w:r>
        <w:rPr>
          <w:b/>
          <w:color w:val="B8A06E"/>
          <w:sz w:val="23"/>
        </w:rPr>
        <w:t>Implicatie B.  De fusie met GC Industries moet leiden tot een dubbele positionering</w:t>
      </w:r>
    </w:p>
    <w:p>
      <w:pPr>
        <w:spacing w:after="120" w:line="288" w:lineRule="auto"/>
      </w:pPr>
      <w:r>
        <w:rPr>
          <w:b w:val="0"/>
          <w:i w:val="0"/>
          <w:sz w:val="22"/>
        </w:rPr>
        <w:t>Marketing-discipline vereist dat een merk op één boodschap drukt, niet twee. Maar economisch is dwingen op één positie (alleen schepen) of (alleen industrieel) waardevernietigend. De oplossing volgens Penrose en Sharp: één moeder-merk Navitec dat staat voor 'kritieke reparatie wanneer stilstand niet aanvaardbaar is', met twee sub-merken die de markt-specifieke boodschappen voeren ('Navitec Marine', 'Navitec Industrial'). Een holding-structuur binnen het merk dus — kostbaar in implementatie maar zonder dit blijft het verhaal versplinterd.</w:t>
      </w:r>
    </w:p>
    <w:p>
      <w:pPr>
        <w:spacing w:before="160" w:after="40"/>
      </w:pPr>
      <w:r>
        <w:rPr>
          <w:b/>
          <w:color w:val="B8A06E"/>
          <w:sz w:val="23"/>
        </w:rPr>
        <w:t>Implicatie C.  Decarbonisatie van de scheepvaart creëert een nieuwe reparatie-categorie waar Navitec zich vroeg moet positioneren</w:t>
      </w:r>
    </w:p>
    <w:p>
      <w:pPr>
        <w:spacing w:after="120" w:line="288" w:lineRule="auto"/>
      </w:pPr>
      <w:r>
        <w:rPr>
          <w:b w:val="0"/>
          <w:i w:val="0"/>
          <w:sz w:val="22"/>
        </w:rPr>
        <w:t>Methanol-, ammonia- en waterstof-aangedreven schepen zijn fundamenteel andere systemen dan conventionele dieselmotoren. Reparateurs die in 2025-2027 trainings- en certificerings-investering doen, zijn in 2028-2032 de enige aanbieders. Wanneer Navitec deze investering uitstelt, opent zich voor een Hamburg- of Rotterdam-concurrent een tienjaars voorsprong.</w:t>
      </w:r>
    </w:p>
    <w:p>
      <w:pPr>
        <w:spacing w:before="280" w:after="80"/>
      </w:pPr>
      <w:r>
        <w:rPr>
          <w:b/>
          <w:color w:val="1B2A49"/>
          <w:sz w:val="28"/>
        </w:rPr>
        <w:t>4.  Beperkingen van deze analyse</w:t>
      </w:r>
    </w:p>
    <w:p>
      <w:pPr>
        <w:pStyle w:val="ListBullet"/>
        <w:spacing w:after="40"/>
      </w:pPr>
      <w:r>
        <w:rPr>
          <w:sz w:val="22"/>
        </w:rPr>
        <w:t>Geen toegang tot interne financiële marges per service-blok — uitspraak over rendabiliteit moet voorzichtig blijven.</w:t>
      </w:r>
    </w:p>
    <w:p>
      <w:pPr>
        <w:pStyle w:val="ListBullet"/>
        <w:spacing w:after="40"/>
      </w:pPr>
      <w:r>
        <w:rPr>
          <w:sz w:val="22"/>
        </w:rPr>
        <w:t>Geen captatie van klanttevredenheid-data — NPS of klantsentiment zou empirisch sterken.</w:t>
      </w:r>
    </w:p>
    <w:p>
      <w:pPr>
        <w:pStyle w:val="ListBullet"/>
        <w:spacing w:after="40"/>
      </w:pPr>
      <w:r>
        <w:rPr>
          <w:sz w:val="22"/>
        </w:rPr>
        <w:t>Macro-economische correlatie met scheepvaartvolume in ARA niet expliciet getoetst.</w:t>
      </w:r>
    </w:p>
    <w:p>
      <w:pPr>
        <w:pStyle w:val="ListBullet"/>
        <w:spacing w:after="40"/>
      </w:pPr>
      <w:r>
        <w:rPr>
          <w:sz w:val="22"/>
        </w:rPr>
        <w:t>Concurrent-analyse (van Dommelen, Roodzand, Bilfinger Marine, Damen) niet diepgaand toegepast — toekomstig onderzoek noodzakelijk.</w:t>
      </w:r>
    </w:p>
    <w:p>
      <w:pPr>
        <w:spacing w:before="280" w:after="80"/>
      </w:pPr>
      <w:r>
        <w:rPr>
          <w:b/>
          <w:color w:val="1B2A49"/>
          <w:sz w:val="28"/>
        </w:rPr>
        <w:t>Drie vergeten vragen</w:t>
      </w:r>
    </w:p>
    <w:p>
      <w:pPr>
        <w:spacing w:after="120" w:line="288" w:lineRule="auto"/>
      </w:pPr>
      <w:r>
        <w:rPr>
          <w:b w:val="0"/>
          <w:i/>
          <w:sz w:val="22"/>
        </w:rPr>
        <w:t>Vragen die in dit dossier niet (genoeg) gesteld werden, en die het verschil maken.</w:t>
      </w:r>
    </w:p>
    <w:p>
      <w:pPr>
        <w:spacing w:after="120"/>
      </w:pPr>
      <w:r>
        <w:rPr>
          <w:b/>
          <w:color w:val="1B2A49"/>
        </w:rPr>
        <w:t xml:space="preserve">1.  </w:t>
      </w:r>
      <w:r>
        <w:rPr>
          <w:sz w:val="22"/>
        </w:rPr>
        <w:t>Welke peer-reviewed studie verschijnt op dit moment over predictive maintenance in scheepsreparatie en wordt door Navitec wel of niet gevolgd? Een literatuurmonitoring die het management vandaag niet doet, kost in 2028 vermoedelijk meer dan het kost om vandaag een aanwerving te doen.</w:t>
      </w:r>
    </w:p>
    <w:p>
      <w:pPr>
        <w:spacing w:after="120"/>
      </w:pPr>
      <w:r>
        <w:rPr>
          <w:b/>
          <w:color w:val="1B2A49"/>
        </w:rPr>
        <w:t xml:space="preserve">2.  </w:t>
      </w:r>
      <w:r>
        <w:rPr>
          <w:sz w:val="22"/>
        </w:rPr>
        <w:t>Wat zou er gebeuren met de Navitec-marge als één van de drie grote klassebureaus (DNV, RINA, Bureau Veritas) in 2027 een AI-gestuurd inspectiesysteem oplegt aan reparateurs? Zou Navitec dan toegankelijk blijven, of zou de regulatoire moat tegen Navitec keren?</w:t>
      </w:r>
    </w:p>
    <w:p>
      <w:pPr>
        <w:spacing w:after="120"/>
      </w:pPr>
      <w:r>
        <w:rPr>
          <w:b/>
          <w:color w:val="1B2A49"/>
        </w:rPr>
        <w:t xml:space="preserve">3.  </w:t>
      </w:r>
      <w:r>
        <w:rPr>
          <w:sz w:val="22"/>
        </w:rPr>
        <w:t>Welk experimenteel design zou Navitec moeten opzetten om empirisch te testen of een AI-dispatch-systeem inderdaad de aanrijdtijd reduceert? Een gerandomiseerde proefopzet (50% klassieke dispatch, 50% AI-assisted) over zes maanden zou strakke evidentie leveren. Vandaag bestaat zoiets niet — terwijl het methodologisch eenvoudig haalbaar is.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8"/>
      </w:rPr>
      <w:t>Brainwolves · Peter Hoogland · 27 mei 2026 · V1 Wetenschappelijk register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