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color w:val="B8A06E"/>
          <w:sz w:val="22"/>
        </w:rPr>
        <w:t>DOSSIER 04 · V4 · STRATEGISCH REGISTER · NAVITEC</w:t>
      </w:r>
    </w:p>
    <w:p>
      <w:r>
        <w:rPr>
          <w:b/>
          <w:color w:val="1B2A49"/>
          <w:sz w:val="60"/>
        </w:rPr>
        <w:t>Navitec — een strategisch memorandum</w:t>
      </w:r>
    </w:p>
    <w:p>
      <w:r>
        <w:rPr>
          <w:i/>
          <w:color w:val="555555"/>
          <w:sz w:val="26"/>
        </w:rPr>
        <w:t>Sharp/Byron-stack, Mental Availability, Category Entry Points, demand-trechter. Voor de boardroom van Roel en Joris Van de Water. Geen poëzie — strategie. CMO-vocabulaire, marketingarchitect-redenering, executive briefing-stijl.</w:t>
      </w:r>
    </w:p>
    <w:p>
      <w:pPr>
        <w:pBdr>
          <w:bottom w:val="single" w:sz="6" w:space="1" w:color="B8A06E"/>
        </w:pBdr>
      </w:pPr>
    </w:p>
    <w:p/>
    <w:p>
      <w:pPr>
        <w:spacing w:before="280" w:after="80"/>
      </w:pPr>
      <w:r>
        <w:rPr>
          <w:b/>
          <w:color w:val="1B2A49"/>
          <w:sz w:val="28"/>
        </w:rPr>
        <w:t>Strategische context</w:t>
      </w:r>
    </w:p>
    <w:p>
      <w:pPr>
        <w:spacing w:after="120" w:line="288" w:lineRule="auto"/>
      </w:pPr>
      <w:r>
        <w:rPr>
          <w:b w:val="0"/>
          <w:i w:val="0"/>
          <w:sz w:val="22"/>
        </w:rPr>
        <w:t>Navitec staat op een drievoudig kantelpunt. Eén: de fusie met GC Industries (1 oktober 2025) heeft het organisatieprofiel verbreed van pure maritieme speler naar maritiem-én-industriële speler. Twee: de scheepvaartsector ondergaat de meest fundamentele technologische transitie in haar moderne geschiedenis (decarbonisatie, AI, autonome systemen). Drie: de Vlaamse arbeidsmarkt voor scheepsmonteurs en lassers is structureel krap. Elk van deze drie veranderingen vereist een strategisch antwoord. Tegelijk antwoorden op alle drie vereist een strategische architectuur, geen losse acties.</w:t>
      </w:r>
    </w:p>
    <w:p>
      <w:pPr>
        <w:spacing w:before="280" w:after="80"/>
      </w:pPr>
      <w:r>
        <w:rPr>
          <w:b/>
          <w:color w:val="1B2A49"/>
          <w:sz w:val="28"/>
        </w:rPr>
        <w:t>1.  Mental Availability  —  hoe wint Navitec op herinnering?</w:t>
      </w:r>
    </w:p>
    <w:p>
      <w:pPr>
        <w:spacing w:after="120" w:line="288" w:lineRule="auto"/>
      </w:pPr>
      <w:r>
        <w:rPr>
          <w:b w:val="0"/>
          <w:i w:val="0"/>
          <w:sz w:val="22"/>
        </w:rPr>
        <w:t>Byron Sharp's wet: marktaandeel wordt gewonnen niet door loyaliteit maar door fysieke en mentale beschikbaarheid in koopmomenten. Voor Navitec zijn dat momenten van crisis, planning of certificering.</w:t>
      </w:r>
    </w:p>
    <w:p>
      <w:pPr>
        <w:spacing w:before="160" w:after="40"/>
      </w:pPr>
      <w:r>
        <w:rPr>
          <w:b/>
          <w:color w:val="B8A06E"/>
          <w:sz w:val="23"/>
        </w:rPr>
        <w:t>Huidige mental availability per koopmoment</w:t>
      </w:r>
    </w:p>
    <w:p>
      <w:pPr>
        <w:pStyle w:val="ListBullet"/>
        <w:spacing w:after="40"/>
      </w:pPr>
      <w:r>
        <w:rPr>
          <w:sz w:val="22"/>
        </w:rPr>
        <w:t>'Een schip ligt stuk in Antwerpen' — HOOG. Navitec is een top-3-recall in dit moment.</w:t>
      </w:r>
    </w:p>
    <w:p>
      <w:pPr>
        <w:pStyle w:val="ListBullet"/>
        <w:spacing w:after="40"/>
      </w:pPr>
      <w:r>
        <w:rPr>
          <w:sz w:val="22"/>
        </w:rPr>
        <w:t>'Een schip ligt stuk in Rotterdam' — MEDIUM. Nederlandse spelers (Damen, Wartsila, Royal Roos) concurreren stevig.</w:t>
      </w:r>
    </w:p>
    <w:p>
      <w:pPr>
        <w:pStyle w:val="ListBullet"/>
        <w:spacing w:after="40"/>
      </w:pPr>
      <w:r>
        <w:rPr>
          <w:sz w:val="22"/>
        </w:rPr>
        <w:t>'Een schip ligt stuk in Hamburg of Bremerhaven' — LAAG. Navitec is bekend maar niet eerste keuze; lokale spelers hebben thuisvoordeel.</w:t>
      </w:r>
    </w:p>
    <w:p>
      <w:pPr>
        <w:pStyle w:val="ListBullet"/>
        <w:spacing w:after="40"/>
      </w:pPr>
      <w:r>
        <w:rPr>
          <w:sz w:val="22"/>
        </w:rPr>
        <w:t>'Wij hebben een lifeboat-recertificering nodig' — MEDIUM-HOOG, maar concurrentie van gespecialiseerde safety-aanbieders.</w:t>
      </w:r>
    </w:p>
    <w:p>
      <w:pPr>
        <w:pStyle w:val="ListBullet"/>
        <w:spacing w:after="40"/>
      </w:pPr>
      <w:r>
        <w:rPr>
          <w:sz w:val="22"/>
        </w:rPr>
        <w:t>'Wij plannen een geplande motoroverhaul' — MEDIUM. Reders kiezen vaak voor scheepswerf in eigen thuishaven.</w:t>
      </w:r>
    </w:p>
    <w:p>
      <w:pPr>
        <w:pStyle w:val="ListBullet"/>
        <w:spacing w:after="40"/>
      </w:pPr>
      <w:r>
        <w:rPr>
          <w:sz w:val="22"/>
        </w:rPr>
        <w:t>'Wij hebben een industriële stilstand-reparatie nodig' — LAAG, terwijl Navitec dit sinds de GC Industries-fusie wél kan.</w:t>
      </w:r>
    </w:p>
    <w:p>
      <w:pPr>
        <w:spacing w:before="160" w:after="40"/>
      </w:pPr>
      <w:r>
        <w:rPr>
          <w:b/>
          <w:color w:val="B8A06E"/>
          <w:sz w:val="23"/>
        </w:rPr>
        <w:t>Het centrale strategische probleem</w:t>
      </w:r>
    </w:p>
    <w:p>
      <w:pPr>
        <w:spacing w:after="120" w:line="288" w:lineRule="auto"/>
      </w:pPr>
      <w:r>
        <w:rPr>
          <w:b w:val="0"/>
          <w:i w:val="0"/>
          <w:sz w:val="22"/>
        </w:rPr>
        <w:t>Navitec verdedigt sterk één Category Entry Point ('crisis-reparatie in Antwerpen') en is zwak aanwezig in negen andere CEP's die binnen haar capability vallen. Het differentieert niet — het is een mental availability-probleem dat door communicatie en CRM-strategie oplosbaar is, zonder verandering van capability.</w:t>
      </w:r>
    </w:p>
    <w:p>
      <w:pPr>
        <w:spacing w:before="280" w:after="80"/>
      </w:pPr>
      <w:r>
        <w:rPr>
          <w:b/>
          <w:color w:val="1B2A49"/>
          <w:sz w:val="28"/>
        </w:rPr>
        <w:t>2.  Category Entry Points  —  welke negen open ze nog?</w:t>
      </w:r>
    </w:p>
    <w:p>
      <w:pPr>
        <w:spacing w:before="160" w:after="40"/>
      </w:pPr>
      <w:r>
        <w:rPr>
          <w:b/>
          <w:color w:val="B8A06E"/>
          <w:sz w:val="23"/>
        </w:rPr>
        <w:t>CEP-roadmap voor de eerstvolgende 24 maanden</w:t>
      </w:r>
    </w:p>
    <w:p>
      <w:pPr>
        <w:pStyle w:val="ListNumber"/>
        <w:spacing w:after="40"/>
      </w:pPr>
      <w:r>
        <w:rPr>
          <w:sz w:val="22"/>
        </w:rPr>
        <w:t>'Mijn schip ligt stuk in Rotterdam/Vlissingen' — uitbreiding lokale dispatch-aanwezigheid.</w:t>
      </w:r>
    </w:p>
    <w:p>
      <w:pPr>
        <w:pStyle w:val="ListNumber"/>
        <w:spacing w:after="40"/>
      </w:pPr>
      <w:r>
        <w:rPr>
          <w:sz w:val="22"/>
        </w:rPr>
        <w:t>'Ik plan een onderhouds-stop voor mijn vloot' — preventieve service-pakketten.</w:t>
      </w:r>
    </w:p>
    <w:p>
      <w:pPr>
        <w:pStyle w:val="ListNumber"/>
        <w:spacing w:after="40"/>
      </w:pPr>
      <w:r>
        <w:rPr>
          <w:sz w:val="22"/>
        </w:rPr>
        <w:t>'Mijn classificatiebureau eist een hercertificering binnen 30 dagen' — fast-track compliance-stream.</w:t>
      </w:r>
    </w:p>
    <w:p>
      <w:pPr>
        <w:pStyle w:val="ListNumber"/>
        <w:spacing w:after="40"/>
      </w:pPr>
      <w:r>
        <w:rPr>
          <w:sz w:val="22"/>
        </w:rPr>
        <w:t>'Mijn fabriek heeft een onverwachte stilstand en heeft 24-uurs reparateur nodig' — industriële vertaling van de scheeps-belofte.</w:t>
      </w:r>
    </w:p>
    <w:p>
      <w:pPr>
        <w:pStyle w:val="ListNumber"/>
        <w:spacing w:after="40"/>
      </w:pPr>
      <w:r>
        <w:rPr>
          <w:sz w:val="22"/>
        </w:rPr>
        <w:t>'Mijn windturbine-onderhoudscontract vereist gespecialiseerde lassers' — energie-niche uitbouwen.</w:t>
      </w:r>
    </w:p>
    <w:p>
      <w:pPr>
        <w:pStyle w:val="ListNumber"/>
        <w:spacing w:after="40"/>
      </w:pPr>
      <w:r>
        <w:rPr>
          <w:sz w:val="22"/>
        </w:rPr>
        <w:t>'Mijn schip wordt verbouwd naar methanol-aandrijving' — pre-positionering op decarbonisatie.</w:t>
      </w:r>
    </w:p>
    <w:p>
      <w:pPr>
        <w:pStyle w:val="ListNumber"/>
        <w:spacing w:after="40"/>
      </w:pPr>
      <w:r>
        <w:rPr>
          <w:sz w:val="22"/>
        </w:rPr>
        <w:t>'Ik wil mijn vloot-reparatiehistorie integreren in ESG-rapport' — data-as-a-service.</w:t>
      </w:r>
    </w:p>
    <w:p>
      <w:pPr>
        <w:pStyle w:val="ListNumber"/>
        <w:spacing w:after="40"/>
      </w:pPr>
      <w:r>
        <w:rPr>
          <w:sz w:val="22"/>
        </w:rPr>
        <w:t>'Ik wil één partner voor scheeps- én off-shore-reparatie' — bundeling.</w:t>
      </w:r>
    </w:p>
    <w:p>
      <w:pPr>
        <w:pStyle w:val="ListNumber"/>
        <w:spacing w:after="40"/>
      </w:pPr>
      <w:r>
        <w:rPr>
          <w:sz w:val="22"/>
        </w:rPr>
        <w:t>'Mijn nieuwe captain heeft een betrouwbare ARA-partner nodig' — captain-loyalty-program.</w:t>
      </w:r>
    </w:p>
    <w:p>
      <w:pPr>
        <w:spacing w:before="280" w:after="80"/>
      </w:pPr>
      <w:r>
        <w:rPr>
          <w:b/>
          <w:color w:val="1B2A49"/>
          <w:sz w:val="28"/>
        </w:rPr>
        <w:t>3.  Demand-trechter  —  van aandacht tot conversie</w:t>
      </w:r>
    </w:p>
    <w:p>
      <w:pPr>
        <w:spacing w:before="160" w:after="40"/>
      </w:pPr>
      <w:r>
        <w:rPr>
          <w:b/>
          <w:color w:val="B8A06E"/>
          <w:sz w:val="23"/>
        </w:rPr>
        <w:t>Awareness</w:t>
      </w:r>
    </w:p>
    <w:p>
      <w:pPr>
        <w:spacing w:after="120" w:line="288" w:lineRule="auto"/>
      </w:pPr>
      <w:r>
        <w:rPr>
          <w:b w:val="0"/>
          <w:i w:val="0"/>
          <w:sz w:val="22"/>
        </w:rPr>
        <w:t>Vandaag genereert Navitec awareness via word-of-mouth onder captains en superintendents — sterk in het Antwerpse ecosysteem, zwak buiten ARA. Strategische zet: één keer per kwartaal een data-gedreven publicatie ('ARA Ship Repair Index 2026') die journalisten en sector-publicaties oppikken. Dit bouwt onafhankelijk van mond-op-mond.</w:t>
      </w:r>
    </w:p>
    <w:p>
      <w:pPr>
        <w:spacing w:before="160" w:after="40"/>
      </w:pPr>
      <w:r>
        <w:rPr>
          <w:b/>
          <w:color w:val="B8A06E"/>
          <w:sz w:val="23"/>
        </w:rPr>
        <w:t>Familiarity</w:t>
      </w:r>
    </w:p>
    <w:p>
      <w:pPr>
        <w:spacing w:after="120" w:line="288" w:lineRule="auto"/>
      </w:pPr>
      <w:r>
        <w:rPr>
          <w:b w:val="0"/>
          <w:i w:val="0"/>
          <w:sz w:val="22"/>
        </w:rPr>
        <w:t>Familiarity wordt vandaag onderhouden via classificatiebureau-erkenningen (DNV, RINA, Bureau Veritas) en sponsoring (basketball-team in Antwerpen). Strategische zet: één jaarlijks 'Always There Symposium' in Antwerpen, gericht op captains en superintendents van top-50 reders in ARA — kosten 30-50k, ROI in mental availability hoog.</w:t>
      </w:r>
    </w:p>
    <w:p>
      <w:pPr>
        <w:spacing w:before="160" w:after="40"/>
      </w:pPr>
      <w:r>
        <w:rPr>
          <w:b/>
          <w:color w:val="B8A06E"/>
          <w:sz w:val="23"/>
        </w:rPr>
        <w:t>Consideration</w:t>
      </w:r>
    </w:p>
    <w:p>
      <w:pPr>
        <w:spacing w:after="120" w:line="288" w:lineRule="auto"/>
      </w:pPr>
      <w:r>
        <w:rPr>
          <w:b w:val="0"/>
          <w:i w:val="0"/>
          <w:sz w:val="22"/>
        </w:rPr>
        <w:t>Reders die Navitec bekend vinden, overwegen ze in 'crisis-modus'. Niet in 'planning-modus'. Verschuiving naar consideration in planning-modus vereist een Account-Based Marketing-aanpak op de top-30 reders: kwartaal-touch via case study, jaarlijkse face-to-face, technische whitepaper-uitwisseling.</w:t>
      </w:r>
    </w:p>
    <w:p>
      <w:pPr>
        <w:spacing w:before="160" w:after="40"/>
      </w:pPr>
      <w:r>
        <w:rPr>
          <w:b/>
          <w:color w:val="B8A06E"/>
          <w:sz w:val="23"/>
        </w:rPr>
        <w:t>Preference &amp; Choice</w:t>
      </w:r>
    </w:p>
    <w:p>
      <w:pPr>
        <w:spacing w:after="120" w:line="288" w:lineRule="auto"/>
      </w:pPr>
      <w:r>
        <w:rPr>
          <w:b w:val="0"/>
          <w:i w:val="0"/>
          <w:sz w:val="22"/>
        </w:rPr>
        <w:t>Preferentie wordt vandaag bepaald door snelheid en certificering. Op deze assen wint Navitec. Maar wanneer Damen of een Hamburg-speler in 2027 met AI-dispatch komt, daalt Navitec's competitive set. Strategische zet: maak AI-dispatch een eigen capability in 2026-2027, vóór de markt.</w:t>
      </w:r>
    </w:p>
    <w:p>
      <w:pPr>
        <w:spacing w:before="280" w:after="80"/>
      </w:pPr>
      <w:r>
        <w:rPr>
          <w:b/>
          <w:color w:val="1B2A49"/>
          <w:sz w:val="28"/>
        </w:rPr>
        <w:t>4.  Prospect Theory framing  —  verlies en winst voor de reder</w:t>
      </w:r>
    </w:p>
    <w:p>
      <w:pPr>
        <w:spacing w:before="160" w:after="40"/>
      </w:pPr>
      <w:r>
        <w:rPr>
          <w:b/>
          <w:color w:val="B8A06E"/>
          <w:sz w:val="23"/>
        </w:rPr>
        <w:t>Verlies-frame (2x sterker dan winst-frame)</w:t>
      </w:r>
    </w:p>
    <w:p>
      <w:pPr>
        <w:spacing w:after="120"/>
        <w:ind w:left="340"/>
      </w:pPr>
      <w:r>
        <w:rPr>
          <w:i/>
          <w:color w:val="555555"/>
          <w:sz w:val="21"/>
        </w:rPr>
        <w:t>'Uw schip kost € 40.000 per dag stilstand. Een reparateur die er een dag langer over doet, kost u € 40.000. Een reparateur die niet komt opdagen, kost u uw klassebureau-certificering. Wij voorkomen beide.' Deze framing zit niet op de huidige website. Daar staat een functionele beschrijving. Strategische zet: communicatie-architectuur kantelen naar verlies-preventie als kern-claim.</w:t>
      </w:r>
    </w:p>
    <w:p>
      <w:pPr>
        <w:spacing w:before="160" w:after="40"/>
      </w:pPr>
      <w:r>
        <w:rPr>
          <w:b/>
          <w:color w:val="B8A06E"/>
          <w:sz w:val="23"/>
        </w:rPr>
        <w:t>Winst-frame voor talent</w:t>
      </w:r>
    </w:p>
    <w:p>
      <w:pPr>
        <w:spacing w:after="120"/>
        <w:ind w:left="340"/>
      </w:pPr>
      <w:r>
        <w:rPr>
          <w:i/>
          <w:color w:val="555555"/>
          <w:sz w:val="21"/>
        </w:rPr>
        <w:t>'Word de scheepsmonteur die met data werkt, niet alleen met sleutels. Bij Navitec leer je in 24 maanden wat een traditionele monteur in 5 jaar leert.' Dit frame ontbreekt in het werkgevers-merk. Wel aanwezig: 'Always There' en familie-cultuur. Beide werken, beide volstaan niet voor jong AI-bewust talent.</w:t>
      </w:r>
    </w:p>
    <w:p>
      <w:pPr>
        <w:spacing w:before="280" w:after="80"/>
      </w:pPr>
      <w:r>
        <w:rPr>
          <w:b/>
          <w:color w:val="1B2A49"/>
          <w:sz w:val="28"/>
        </w:rPr>
        <w:t>5.  Distinctive Brand Assets  —  inventaris en versterking</w:t>
      </w:r>
    </w:p>
    <w:p>
      <w:pPr>
        <w:spacing w:before="160" w:after="40"/>
      </w:pPr>
      <w:r>
        <w:rPr>
          <w:b/>
          <w:color w:val="B8A06E"/>
          <w:sz w:val="23"/>
        </w:rPr>
        <w:t>Huidige assets — sterke en zwakke</w:t>
      </w:r>
    </w:p>
    <w:p>
      <w:pPr>
        <w:pStyle w:val="ListBullet"/>
        <w:spacing w:after="40"/>
      </w:pPr>
      <w:r>
        <w:rPr>
          <w:sz w:val="22"/>
        </w:rPr>
        <w:t>Naam Navitec — STERK (kort, hard, distinctive in maritieme markt).</w:t>
      </w:r>
    </w:p>
    <w:p>
      <w:pPr>
        <w:pStyle w:val="ListBullet"/>
        <w:spacing w:after="40"/>
      </w:pPr>
      <w:r>
        <w:rPr>
          <w:sz w:val="22"/>
        </w:rPr>
        <w:t>Tagline 'Always There' — STERK (eenvoudig, belooft, herhaalbaar).</w:t>
      </w:r>
    </w:p>
    <w:p>
      <w:pPr>
        <w:pStyle w:val="ListBullet"/>
        <w:spacing w:after="40"/>
      </w:pPr>
      <w:r>
        <w:rPr>
          <w:sz w:val="22"/>
        </w:rPr>
        <w:t>Kleurpalet (donkerblauw met geel-oranje accent) — MEDIUM (niet uniek genoeg in maritieme cluster).</w:t>
      </w:r>
    </w:p>
    <w:p>
      <w:pPr>
        <w:pStyle w:val="ListBullet"/>
        <w:spacing w:after="40"/>
      </w:pPr>
      <w:r>
        <w:rPr>
          <w:sz w:val="22"/>
        </w:rPr>
        <w:t>Logo (gestileerde N met scheeps-element) — MEDIUM (niet sterk gedifferentieerd).</w:t>
      </w:r>
    </w:p>
    <w:p>
      <w:pPr>
        <w:pStyle w:val="ListBullet"/>
        <w:spacing w:after="40"/>
      </w:pPr>
      <w:r>
        <w:rPr>
          <w:sz w:val="22"/>
        </w:rPr>
        <w:t>Hashtag #alwaysthere — STERK (al actief op LinkedIn).</w:t>
      </w:r>
    </w:p>
    <w:p>
      <w:pPr>
        <w:pStyle w:val="ListBullet"/>
        <w:spacing w:after="40"/>
      </w:pPr>
      <w:r>
        <w:rPr>
          <w:sz w:val="22"/>
        </w:rPr>
        <w:t>Familie-portretten Van de Water — ONBENUT (sterke gezichten, geen distinctive asset gemaakt).</w:t>
      </w:r>
    </w:p>
    <w:p>
      <w:pPr>
        <w:spacing w:before="160" w:after="40"/>
      </w:pPr>
      <w:r>
        <w:rPr>
          <w:b/>
          <w:color w:val="B8A06E"/>
          <w:sz w:val="23"/>
        </w:rPr>
        <w:t>Drie nieuwe assets om te bouwen</w:t>
      </w:r>
    </w:p>
    <w:p>
      <w:pPr>
        <w:pStyle w:val="ListBullet"/>
        <w:spacing w:after="40"/>
      </w:pPr>
      <w:r>
        <w:rPr>
          <w:sz w:val="22"/>
        </w:rPr>
        <w:t>Een 'response time-counter' op de website (live aantal uren actief sinds laatste storing) — gimmick die elke captain naar de site trekt.</w:t>
      </w:r>
    </w:p>
    <w:p>
      <w:pPr>
        <w:pStyle w:val="ListBullet"/>
        <w:spacing w:after="40"/>
      </w:pPr>
      <w:r>
        <w:rPr>
          <w:sz w:val="22"/>
        </w:rPr>
        <w:t>Een jaarlijks ARA Ship Repair Index — eigen onderzoeksdata die journalisten oppikken.</w:t>
      </w:r>
    </w:p>
    <w:p>
      <w:pPr>
        <w:pStyle w:val="ListBullet"/>
        <w:spacing w:after="40"/>
      </w:pPr>
      <w:r>
        <w:rPr>
          <w:sz w:val="22"/>
        </w:rPr>
        <w:t>Een Navitec-ringtone (kort jingle) voor de 24/7-hotline — speelt bij elke binnenkomende oproep, traint Pavlov-respons bij captains.</w:t>
      </w:r>
    </w:p>
    <w:p>
      <w:pPr>
        <w:spacing w:before="280" w:after="80"/>
      </w:pPr>
      <w:r>
        <w:rPr>
          <w:b/>
          <w:color w:val="1B2A49"/>
          <w:sz w:val="28"/>
        </w:rPr>
        <w:t>6.  Portfolio-positie na de fusie GC Industries</w:t>
      </w:r>
    </w:p>
    <w:p>
      <w:pPr>
        <w:spacing w:after="120" w:line="288" w:lineRule="auto"/>
      </w:pPr>
      <w:r>
        <w:rPr>
          <w:b w:val="0"/>
          <w:i w:val="0"/>
          <w:sz w:val="22"/>
        </w:rPr>
        <w:t>Strategisch dilemma: één merk (Navitec) verdedigt twee markten (scheepvaart en industrie). Drie scenario's:</w:t>
      </w:r>
    </w:p>
    <w:p>
      <w:pPr>
        <w:spacing w:before="160" w:after="40"/>
      </w:pPr>
      <w:r>
        <w:rPr>
          <w:b/>
          <w:color w:val="B8A06E"/>
          <w:sz w:val="23"/>
        </w:rPr>
        <w:t>Scenario A.  Eén merk, twee proposities — 'kritieke reparatie wanneer stilstand niet aanvaardbaar is'</w:t>
      </w:r>
    </w:p>
    <w:p>
      <w:pPr>
        <w:spacing w:after="120" w:line="288" w:lineRule="auto"/>
      </w:pPr>
      <w:r>
        <w:rPr>
          <w:b w:val="0"/>
          <w:i w:val="0"/>
          <w:sz w:val="22"/>
        </w:rPr>
        <w:t>Voordeel: maximale brand-equity-synergie. Nadeel: marketingboodschap moet abstract genoeg blijven om beide te omvatten, wat scherpte kost.</w:t>
      </w:r>
    </w:p>
    <w:p>
      <w:pPr>
        <w:spacing w:before="160" w:after="40"/>
      </w:pPr>
      <w:r>
        <w:rPr>
          <w:b/>
          <w:color w:val="B8A06E"/>
          <w:sz w:val="23"/>
        </w:rPr>
        <w:t>Scenario B.  Eén masterbrand, twee sub-merken — Navitec Marine + Navitec Industrial</w:t>
      </w:r>
    </w:p>
    <w:p>
      <w:pPr>
        <w:spacing w:after="120" w:line="288" w:lineRule="auto"/>
      </w:pPr>
      <w:r>
        <w:rPr>
          <w:b w:val="0"/>
          <w:i w:val="0"/>
          <w:sz w:val="22"/>
        </w:rPr>
        <w:t>Voordeel: gespecialiseerde boodschap per markt zonder cluttering. Nadeel: dubbele marketingkost, risico op verdeelde focus.</w:t>
      </w:r>
    </w:p>
    <w:p>
      <w:pPr>
        <w:spacing w:before="160" w:after="40"/>
      </w:pPr>
      <w:r>
        <w:rPr>
          <w:b/>
          <w:color w:val="B8A06E"/>
          <w:sz w:val="23"/>
        </w:rPr>
        <w:t>Scenario C.  Twee aparte merken</w:t>
      </w:r>
    </w:p>
    <w:p>
      <w:pPr>
        <w:spacing w:after="120" w:line="288" w:lineRule="auto"/>
      </w:pPr>
      <w:r>
        <w:rPr>
          <w:b w:val="0"/>
          <w:i w:val="0"/>
          <w:sz w:val="22"/>
        </w:rPr>
        <w:t>Voordeel: marketing-zuiverheid. Nadeel: erodeert de fusie-rationale en de schaalvoordelen.</w:t>
      </w:r>
    </w:p>
    <w:p>
      <w:pPr>
        <w:ind w:left="227"/>
      </w:pPr>
      <w:r>
        <w:rPr>
          <w:b/>
          <w:color w:val="B8A06E"/>
          <w:sz w:val="21"/>
        </w:rPr>
        <w:t xml:space="preserve">MIJN AANBEVELING:  </w:t>
      </w:r>
      <w:r>
        <w:rPr>
          <w:color w:val="555555"/>
          <w:sz w:val="21"/>
        </w:rPr>
        <w:t>Scenario B in 2026-2027 als overgangsmodel. Operationeel volledig geïntegreerd, marketing-communicatie gesplitst. Eind 2027 herevalueren: als industrie-stream commercieel het zwakke been blijkt, terug naar Scenario A met industrie als secundair. Als industrie-stream sterk groeit, blijven bij Scenario B met groeiende investering.</w:t>
      </w:r>
    </w:p>
    <w:p>
      <w:pPr>
        <w:spacing w:before="280" w:after="80"/>
      </w:pPr>
      <w:r>
        <w:rPr>
          <w:b/>
          <w:color w:val="1B2A49"/>
          <w:sz w:val="28"/>
        </w:rPr>
        <w:t>7.  AI als strategische laag  —  drie investerings-niveaus</w:t>
      </w:r>
    </w:p>
    <w:p>
      <w:pPr>
        <w:spacing w:before="160" w:after="40"/>
      </w:pPr>
      <w:r>
        <w:rPr>
          <w:b/>
          <w:color w:val="B8A06E"/>
          <w:sz w:val="23"/>
        </w:rPr>
        <w:t>Niveau 1: Operations AI (laag risico, hoog ROI, 2026)</w:t>
      </w:r>
    </w:p>
    <w:p>
      <w:pPr>
        <w:pStyle w:val="ListBullet"/>
        <w:spacing w:after="40"/>
      </w:pPr>
      <w:r>
        <w:rPr>
          <w:sz w:val="22"/>
        </w:rPr>
        <w:t>AI-dispatch agent voor 24/7-hotline: automatische verrijking met scheepshistoriek en classificatie-vereisten.</w:t>
      </w:r>
    </w:p>
    <w:p>
      <w:pPr>
        <w:pStyle w:val="ListBullet"/>
        <w:spacing w:after="40"/>
      </w:pPr>
      <w:r>
        <w:rPr>
          <w:sz w:val="22"/>
        </w:rPr>
        <w:t>Voorspelling van team-toewijzing op basis van scheeps-type en geografische trajecten.</w:t>
      </w:r>
    </w:p>
    <w:p>
      <w:pPr>
        <w:pStyle w:val="ListBullet"/>
        <w:spacing w:after="40"/>
      </w:pPr>
      <w:r>
        <w:rPr>
          <w:sz w:val="22"/>
        </w:rPr>
        <w:t>Investering: 80-150k. ROI: &lt;12 maanden via betere allocatie en hogere afhandelings-snelheid.</w:t>
      </w:r>
    </w:p>
    <w:p>
      <w:pPr>
        <w:spacing w:before="160" w:after="40"/>
      </w:pPr>
      <w:r>
        <w:rPr>
          <w:b/>
          <w:color w:val="B8A06E"/>
          <w:sz w:val="23"/>
        </w:rPr>
        <w:t>Niveau 2: Customer AI (medium risico, hoog strategisch belang, 2026-2027)</w:t>
      </w:r>
    </w:p>
    <w:p>
      <w:pPr>
        <w:pStyle w:val="ListBullet"/>
        <w:spacing w:after="40"/>
      </w:pPr>
      <w:r>
        <w:rPr>
          <w:sz w:val="22"/>
        </w:rPr>
        <w:t>Predictive maintenance-abonnement voor top-20 reders: maandelijks rapport over scheepsbordsystemen.</w:t>
      </w:r>
    </w:p>
    <w:p>
      <w:pPr>
        <w:pStyle w:val="ListBullet"/>
        <w:spacing w:after="40"/>
      </w:pPr>
      <w:r>
        <w:rPr>
          <w:sz w:val="22"/>
        </w:rPr>
        <w:t>Computer vision-app voor crew aan boord: foto sturen, AI suggereert 3-5 mogelijke oorzaken voor team aankomt.</w:t>
      </w:r>
    </w:p>
    <w:p>
      <w:pPr>
        <w:pStyle w:val="ListBullet"/>
        <w:spacing w:after="40"/>
      </w:pPr>
      <w:r>
        <w:rPr>
          <w:sz w:val="22"/>
        </w:rPr>
        <w:t>Digital twin per klant-vloot: cumulatieve reparatie-historie als ESG-rapport-component.</w:t>
      </w:r>
    </w:p>
    <w:p>
      <w:pPr>
        <w:pStyle w:val="ListBullet"/>
        <w:spacing w:after="40"/>
      </w:pPr>
      <w:r>
        <w:rPr>
          <w:sz w:val="22"/>
        </w:rPr>
        <w:t>Investering: 300-600k over 18 maanden. ROI: 24-36 maanden via terugkerende-omzet abonnementen.</w:t>
      </w:r>
    </w:p>
    <w:p>
      <w:pPr>
        <w:spacing w:before="160" w:after="40"/>
      </w:pPr>
      <w:r>
        <w:rPr>
          <w:b/>
          <w:color w:val="B8A06E"/>
          <w:sz w:val="23"/>
        </w:rPr>
        <w:t>Niveau 3: Category AI (hoog risico, hoog strategisch potentieel, 2027-2029)</w:t>
      </w:r>
    </w:p>
    <w:p>
      <w:pPr>
        <w:pStyle w:val="ListBullet"/>
        <w:spacing w:after="40"/>
      </w:pPr>
      <w:r>
        <w:rPr>
          <w:sz w:val="22"/>
        </w:rPr>
        <w:t>ARA Ship Repair Index als publiek dashboard — data van Navitec + partners.</w:t>
      </w:r>
    </w:p>
    <w:p>
      <w:pPr>
        <w:pStyle w:val="ListBullet"/>
        <w:spacing w:after="40"/>
      </w:pPr>
      <w:r>
        <w:rPr>
          <w:sz w:val="22"/>
        </w:rPr>
        <w:t>Open API voor classificatiebureaus om Navitec-data te integreren.</w:t>
      </w:r>
    </w:p>
    <w:p>
      <w:pPr>
        <w:pStyle w:val="ListBullet"/>
        <w:spacing w:after="40"/>
      </w:pPr>
      <w:r>
        <w:rPr>
          <w:sz w:val="22"/>
        </w:rPr>
        <w:t>Voorstel tot regulator (DNV, RINA, Bureau Veritas) voor data-gestuurde inspectie-cycli.</w:t>
      </w:r>
    </w:p>
    <w:p>
      <w:pPr>
        <w:pStyle w:val="ListBullet"/>
        <w:spacing w:after="40"/>
      </w:pPr>
      <w:r>
        <w:rPr>
          <w:sz w:val="22"/>
        </w:rPr>
        <w:t>Investering: 500k-1,2M. ROI: definitie als categorie-leider, premium-prijszetting toegankelijk.</w:t>
      </w:r>
    </w:p>
    <w:p>
      <w:pPr>
        <w:spacing w:before="280" w:after="80"/>
      </w:pPr>
      <w:r>
        <w:rPr>
          <w:b/>
          <w:color w:val="1B2A49"/>
          <w:sz w:val="28"/>
        </w:rPr>
        <w:t>8.  Vier strategische risico's</w:t>
      </w:r>
    </w:p>
    <w:p>
      <w:pPr>
        <w:pStyle w:val="ListBullet"/>
        <w:spacing w:after="40"/>
      </w:pPr>
      <w:r>
        <w:rPr>
          <w:sz w:val="22"/>
        </w:rPr>
        <w:t>Concurrent-risico: een Rotterdamse of Hamburgse speler lanceert eerst een AI-dispatch — Navitec verliest mental availability buiten Antwerpen.</w:t>
      </w:r>
    </w:p>
    <w:p>
      <w:pPr>
        <w:pStyle w:val="ListBullet"/>
        <w:spacing w:after="40"/>
      </w:pPr>
      <w:r>
        <w:rPr>
          <w:sz w:val="22"/>
        </w:rPr>
        <w:t>Talent-risico: krapte op las- en monteur-positions wordt structureel; Navitec stopt de groei van industriële-niche eenvoudig omdat ze geen mensen vindt.</w:t>
      </w:r>
    </w:p>
    <w:p>
      <w:pPr>
        <w:pStyle w:val="ListBullet"/>
        <w:spacing w:after="40"/>
      </w:pPr>
      <w:r>
        <w:rPr>
          <w:sz w:val="22"/>
        </w:rPr>
        <w:t>Klassebureau-risico: DNV/RINA/Bureau Veritas legt nieuwe digitale inspectie-eisen op die de regulatoire moat ten gunste van grotere, internationaal opererende spelers herverdelen.</w:t>
      </w:r>
    </w:p>
    <w:p>
      <w:pPr>
        <w:pStyle w:val="ListBullet"/>
        <w:spacing w:after="40"/>
      </w:pPr>
      <w:r>
        <w:rPr>
          <w:sz w:val="22"/>
        </w:rPr>
        <w:t>Reputatie-risico: één publieke crisis (een ongeval op een Navitec-werf, een gemiste 24/7-respons) ondermijnt 'Always There'-belofte voor maanden.</w:t>
      </w:r>
    </w:p>
    <w:p>
      <w:pPr>
        <w:spacing w:before="280" w:after="80"/>
      </w:pPr>
      <w:r>
        <w:rPr>
          <w:b/>
          <w:color w:val="1B2A49"/>
          <w:sz w:val="28"/>
        </w:rPr>
        <w:t>9.  Twaalf concrete acties voor 2026-2027</w:t>
      </w:r>
    </w:p>
    <w:p>
      <w:pPr>
        <w:pStyle w:val="ListNumber"/>
        <w:spacing w:after="40"/>
      </w:pPr>
      <w:r>
        <w:rPr>
          <w:sz w:val="22"/>
        </w:rPr>
        <w:t>AI-dispatch-pilot met één team, 90 dagen, intern.</w:t>
      </w:r>
    </w:p>
    <w:p>
      <w:pPr>
        <w:pStyle w:val="ListNumber"/>
        <w:spacing w:after="40"/>
      </w:pPr>
      <w:r>
        <w:rPr>
          <w:sz w:val="22"/>
        </w:rPr>
        <w:t>ABM-pilot op top-20 reders met technisch whitepaper.</w:t>
      </w:r>
    </w:p>
    <w:p>
      <w:pPr>
        <w:pStyle w:val="ListNumber"/>
        <w:spacing w:after="40"/>
      </w:pPr>
      <w:r>
        <w:rPr>
          <w:sz w:val="22"/>
        </w:rPr>
        <w:t>Werkgevers-merk-update: 'familie + data' als dubbele pijler.</w:t>
      </w:r>
    </w:p>
    <w:p>
      <w:pPr>
        <w:pStyle w:val="ListNumber"/>
        <w:spacing w:after="40"/>
      </w:pPr>
      <w:r>
        <w:rPr>
          <w:sz w:val="22"/>
        </w:rPr>
        <w:t>Eerste 'ARA Ship Repair Index' (Q3 2026 publicatie).</w:t>
      </w:r>
    </w:p>
    <w:p>
      <w:pPr>
        <w:pStyle w:val="ListNumber"/>
        <w:spacing w:after="40"/>
      </w:pPr>
      <w:r>
        <w:rPr>
          <w:sz w:val="22"/>
        </w:rPr>
        <w:t>Captain Loyalty Program: app + premium-respons voor top-30 captains.</w:t>
      </w:r>
    </w:p>
    <w:p>
      <w:pPr>
        <w:pStyle w:val="ListNumber"/>
        <w:spacing w:after="40"/>
      </w:pPr>
      <w:r>
        <w:rPr>
          <w:sz w:val="22"/>
        </w:rPr>
        <w:t>Industrie-stream eigen landingspagina en LinkedIn-content-stream.</w:t>
      </w:r>
    </w:p>
    <w:p>
      <w:pPr>
        <w:pStyle w:val="ListNumber"/>
        <w:spacing w:after="40"/>
      </w:pPr>
      <w:r>
        <w:rPr>
          <w:sz w:val="22"/>
        </w:rPr>
        <w:t>Computer vision-app pilot met één klassebureau-partnership.</w:t>
      </w:r>
    </w:p>
    <w:p>
      <w:pPr>
        <w:pStyle w:val="ListNumber"/>
        <w:spacing w:after="40"/>
      </w:pPr>
      <w:r>
        <w:rPr>
          <w:sz w:val="22"/>
        </w:rPr>
        <w:t>Eerste case-study publicatie van een major shipping line (met permissie).</w:t>
      </w:r>
    </w:p>
    <w:p>
      <w:pPr>
        <w:pStyle w:val="ListNumber"/>
        <w:spacing w:after="40"/>
      </w:pPr>
      <w:r>
        <w:rPr>
          <w:sz w:val="22"/>
        </w:rPr>
        <w:t>Sponsoring van een Antwerpse maritieme tech-pitch-event.</w:t>
      </w:r>
    </w:p>
    <w:p>
      <w:pPr>
        <w:pStyle w:val="ListNumber"/>
        <w:spacing w:after="40"/>
      </w:pPr>
      <w:r>
        <w:rPr>
          <w:sz w:val="22"/>
        </w:rPr>
        <w:t>Aanwerving van één 'AI lead' op senior niveau (€100-120k).</w:t>
      </w:r>
    </w:p>
    <w:p>
      <w:pPr>
        <w:pStyle w:val="ListNumber"/>
        <w:spacing w:after="40"/>
      </w:pPr>
      <w:r>
        <w:rPr>
          <w:sz w:val="22"/>
        </w:rPr>
        <w:t>Inschrijven in EU Horizon-call voor maritieme decarbonisatie-onderzoek (partner met UA, ITM).</w:t>
      </w:r>
    </w:p>
    <w:p>
      <w:pPr>
        <w:pStyle w:val="ListNumber"/>
        <w:spacing w:after="40"/>
      </w:pPr>
      <w:r>
        <w:rPr>
          <w:sz w:val="22"/>
        </w:rPr>
        <w:t>Voorbereiden van persmoment '1 jaar fusie' (oktober 2026) met strategische narratief.</w:t>
      </w:r>
    </w:p>
    <w:p>
      <w:pPr>
        <w:spacing w:before="280" w:after="80"/>
      </w:pPr>
      <w:r>
        <w:rPr>
          <w:b/>
          <w:color w:val="1B2A49"/>
          <w:sz w:val="28"/>
        </w:rPr>
        <w:t>Drie vergeten vragen</w:t>
      </w:r>
    </w:p>
    <w:p>
      <w:pPr>
        <w:spacing w:after="120" w:line="288" w:lineRule="auto"/>
      </w:pPr>
      <w:r>
        <w:rPr>
          <w:b w:val="0"/>
          <w:i/>
          <w:sz w:val="22"/>
        </w:rPr>
        <w:t>Vragen die in dit dossier niet (genoeg) gesteld werden, en die het verschil maken.</w:t>
      </w:r>
    </w:p>
    <w:p>
      <w:pPr>
        <w:spacing w:after="120"/>
      </w:pPr>
      <w:r>
        <w:rPr>
          <w:b/>
          <w:color w:val="1B2A49"/>
        </w:rPr>
        <w:t xml:space="preserve">1.  </w:t>
      </w:r>
      <w:r>
        <w:rPr>
          <w:sz w:val="22"/>
        </w:rPr>
        <w:t>Wat is de optimale governance-structuur voor de AI-investering binnen Navitec — een eigen cel, een holding-cel (op H2O Group-niveau), of een joint venture met een externe AI-specialist? Elk model heeft een ander snelheids- en eigenaarschapsprofiel.</w:t>
      </w:r>
    </w:p>
    <w:p>
      <w:pPr>
        <w:spacing w:after="120"/>
      </w:pPr>
      <w:r>
        <w:rPr>
          <w:b/>
          <w:color w:val="1B2A49"/>
        </w:rPr>
        <w:t xml:space="preserve">2.  </w:t>
      </w:r>
      <w:r>
        <w:rPr>
          <w:sz w:val="22"/>
        </w:rPr>
        <w:t>Welke twee acties uit de twaalf bovenstaande zouden door de Van de Water-familie persoonlijk getrokken moeten worden, om gezicht en geloofwaardigheid mee te geven? Mijn voorstel: actie 4 (ARA Index als Roel's persoonlijk publicatie-platform) en actie 11 (Horizon-onderzoek als Joris' diepere strategische positionering).</w:t>
      </w:r>
    </w:p>
    <w:p>
      <w:pPr>
        <w:spacing w:after="120"/>
      </w:pPr>
      <w:r>
        <w:rPr>
          <w:b/>
          <w:color w:val="1B2A49"/>
        </w:rPr>
        <w:t xml:space="preserve">3.  </w:t>
      </w:r>
      <w:r>
        <w:rPr>
          <w:sz w:val="22"/>
        </w:rPr>
        <w:t>Wat is Navitec's exit-strategie? Niet vandaag — niet morgen — maar binnen 5-7 jaar. Want het antwoord op die vraag bepaalt of deze AI-investering een operationele optimalisatie is of een waarde-creatie-zet richting een potentiële strategische verkoop. Beide zijn legitiem, de strategie verschilt fundamenteel.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8"/>
      </w:rPr>
      <w:t>Brainwolves · Peter Hoogland · 27 mei 2026 · V4 Strategisch register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