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ptos" w:cs="Aptos" w:eastAsia="Aptos" w:hAnsi="Aptos"/>
          <w:b/>
          <w:bCs/>
          <w:color w:val="1F4E79"/>
          <w:sz w:val="40"/>
          <w:szCs w:val="40"/>
        </w:rPr>
        <w:t xml:space="preserve">External System Architecture Conclusion</w:t>
      </w:r>
    </w:p>
    <w:p>
      <w:pPr>
        <w:spacing w:after="480" w:before="0"/>
        <w:jc w:val="center"/>
      </w:pPr>
      <w:r>
        <w:rPr>
          <w:rFonts w:ascii="Aptos" w:cs="Aptos" w:eastAsia="Aptos" w:hAnsi="Aptos"/>
          <w:i/>
          <w:iCs/>
          <w:color w:val="555555"/>
          <w:sz w:val="22"/>
          <w:szCs w:val="22"/>
        </w:rPr>
        <w:t xml:space="preserve">Privacy-Preserving, Human-in-the-Loop Conversation Risk Decision Support System</w:t>
      </w:r>
    </w:p>
    <w:p>
      <w:pPr>
        <w:pStyle w:val="Heading1"/>
        <w:spacing w:after="120" w:before="360"/>
      </w:pPr>
      <w:r>
        <w:rPr>
          <w:rFonts w:ascii="Aptos" w:cs="Aptos" w:eastAsia="Aptos" w:hAnsi="Aptos"/>
          <w:b/>
          <w:bCs/>
          <w:color w:val="1F4E79"/>
          <w:sz w:val="28"/>
          <w:szCs w:val="28"/>
        </w:rPr>
        <w:t xml:space="preserve">1. Final Conclusion</w:t>
      </w:r>
    </w:p>
    <w:p>
      <w:pPr>
        <w:spacing w:after="80" w:before="80"/>
      </w:pPr>
      <w:r>
        <w:rPr>
          <w:rFonts w:ascii="Aptos" w:cs="Aptos" w:eastAsia="Aptos" w:hAnsi="Aptos"/>
          <w:b/>
          <w:bCs/>
          <w:sz w:val="20"/>
          <w:szCs w:val="20"/>
        </w:rPr>
        <w:t xml:space="preserve">The final architecture separates two concerns: </w:t>
      </w:r>
      <w:r>
        <w:rPr>
          <w:rFonts w:ascii="Aptos" w:cs="Aptos" w:eastAsia="Aptos" w:hAnsi="Aptos"/>
          <w:sz w:val="20"/>
          <w:szCs w:val="20"/>
        </w:rPr>
        <w:t xml:space="preserve">the external system layer and </w:t>
      </w:r>
      <w:r>
        <w:rPr>
          <w:rFonts w:ascii="Aptos" w:cs="Aptos" w:eastAsia="Aptos" w:hAnsi="Aptos"/>
          <w:b/>
          <w:bCs/>
          <w:sz w:val="20"/>
          <w:szCs w:val="20"/>
        </w:rPr>
        <w:t xml:space="preserve">the AI preprocessing and inference pipeline</w:t>
      </w:r>
      <w:r>
        <w:rPr>
          <w:rFonts w:ascii="Aptos" w:cs="Aptos" w:eastAsia="Aptos" w:hAnsi="Aptos"/>
          <w:sz w:val="20"/>
          <w:szCs w:val="20"/>
        </w:rPr>
        <w:t xml:space="preserve">. The external system layer manages users, APIs, security, workflow, queues, storage, monitoring, and human review. The AI pipeline begins only after system-level request validation and includes PII redaction, speaker anonymization, conversation preparation, model inference, and risk scoring.</w:t>
      </w:r>
    </w:p>
    <w:p>
      <w:pPr>
        <w:spacing w:after="80" w:before="80"/>
      </w:pPr>
      <w:r>
        <w:rPr>
          <w:rFonts w:ascii="Aptos" w:cs="Aptos" w:eastAsia="Aptos" w:hAnsi="Aptos"/>
          <w:b/>
          <w:bCs/>
          <w:sz w:val="20"/>
          <w:szCs w:val="20"/>
        </w:rPr>
        <w:t xml:space="preserve">PII redaction is performed once. </w:t>
      </w:r>
      <w:r>
        <w:rPr>
          <w:rFonts w:ascii="Aptos" w:cs="Aptos" w:eastAsia="Aptos" w:hAnsi="Aptos"/>
          <w:sz w:val="20"/>
          <w:szCs w:val="20"/>
        </w:rPr>
        <w:t xml:space="preserve">It is logically part of AI input preprocessing, even if deployed as a separate backend service in production. It must not appear as two independent redaction steps in the architecture diagram.</w:t>
      </w:r>
    </w:p>
    <w:p>
      <w:pPr>
        <w:spacing w:after="80" w:before="80"/>
      </w:pPr>
      <w:r>
        <w:rPr>
          <w:rFonts w:ascii="Aptos" w:cs="Aptos" w:eastAsia="Aptos" w:hAnsi="Aptos"/>
          <w:b/>
          <w:bCs/>
          <w:sz w:val="20"/>
          <w:szCs w:val="20"/>
        </w:rPr>
        <w:t xml:space="preserve">The system is not a linear pipeline. </w:t>
      </w:r>
      <w:r>
        <w:rPr>
          <w:rFonts w:ascii="Aptos" w:cs="Aptos" w:eastAsia="Aptos" w:hAnsi="Aptos"/>
          <w:sz w:val="20"/>
          <w:szCs w:val="20"/>
        </w:rPr>
        <w:t xml:space="preserve">Analysts submit cases, retrieve past results, and record decisions through separate request paths. AI analysis results are written back to protected storage, which the dashboard retrieves through the Query Service. Analyst decisions update case status and are recorded in an append-only audit log.</w:t>
      </w:r>
    </w:p>
    <w:p>
      <w:r>
        <w:rPr>
          <w:sz w:val="4"/>
          <w:szCs w:val="4"/>
        </w:rPr>
        <w:t xml:space="preserve"/>
      </w:r>
    </w:p>
    <w:p>
      <w:pPr>
        <w:pStyle w:val="Heading1"/>
        <w:spacing w:after="120" w:before="360"/>
      </w:pPr>
      <w:r>
        <w:rPr>
          <w:rFonts w:ascii="Aptos" w:cs="Aptos" w:eastAsia="Aptos" w:hAnsi="Aptos"/>
          <w:b/>
          <w:bCs/>
          <w:color w:val="1F4E79"/>
          <w:sz w:val="28"/>
          <w:szCs w:val="28"/>
        </w:rPr>
        <w:t xml:space="preserve">2. Responsibility Boundary</w:t>
      </w:r>
    </w:p>
    <w:p>
      <w:r>
        <w:rPr>
          <w:sz w:val="4"/>
          <w:szCs w:val="4"/>
        </w:rP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400"/>
      </w:tblGrid>
      <w:tr>
        <w:tc>
          <w:tcPr>
            <w:tcW w:type="dxa" w:w="2200"/>
            <w:tcBorders>
              <w:top w:val="single" w:color="CCCCCC" w:sz="1"/>
              <w:left w:val="single" w:color="CCCCCC" w:sz="1"/>
              <w:bottom w:val="single" w:color="CCCCCC" w:sz="1"/>
              <w:right w:val="single" w:color="CCCCCC" w:sz="1"/>
            </w:tcBorders>
            <w:shd w:fill="D9EAF0" w:val="clear"/>
            <w:tcMar>
              <w:top w:type="dxa" w:w="80"/>
              <w:left w:type="dxa" w:w="140"/>
              <w:bottom w:type="dxa" w:w="80"/>
              <w:right w:type="dxa" w:w="140"/>
            </w:tcMar>
            <w:vAlign w:val="center"/>
          </w:tcPr>
          <w:p>
            <w:r>
              <w:rPr>
                <w:rFonts w:ascii="Aptos" w:cs="Aptos" w:eastAsia="Aptos" w:hAnsi="Aptos"/>
                <w:b/>
                <w:bCs/>
                <w:sz w:val="18"/>
                <w:szCs w:val="18"/>
              </w:rPr>
              <w:t xml:space="preserve">Layer</w:t>
            </w:r>
          </w:p>
        </w:tc>
        <w:tc>
          <w:tcPr>
            <w:tcW w:type="dxa" w:w="3300"/>
            <w:tcBorders>
              <w:top w:val="single" w:color="CCCCCC" w:sz="1"/>
              <w:left w:val="single" w:color="CCCCCC" w:sz="1"/>
              <w:bottom w:val="single" w:color="CCCCCC" w:sz="1"/>
              <w:right w:val="single" w:color="CCCCCC" w:sz="1"/>
            </w:tcBorders>
            <w:shd w:fill="D9EAF0" w:val="clear"/>
            <w:tcMar>
              <w:top w:type="dxa" w:w="80"/>
              <w:left w:type="dxa" w:w="140"/>
              <w:bottom w:type="dxa" w:w="80"/>
              <w:right w:type="dxa" w:w="140"/>
            </w:tcMar>
            <w:vAlign w:val="center"/>
          </w:tcPr>
          <w:p>
            <w:r>
              <w:rPr>
                <w:rFonts w:ascii="Aptos" w:cs="Aptos" w:eastAsia="Aptos" w:hAnsi="Aptos"/>
                <w:b/>
                <w:bCs/>
                <w:sz w:val="18"/>
                <w:szCs w:val="18"/>
              </w:rPr>
              <w:t xml:space="preserve">Primary Responsibilities</w:t>
            </w:r>
          </w:p>
        </w:tc>
        <w:tc>
          <w:tcPr>
            <w:tcW w:type="dxa" w:w="3400"/>
            <w:tcBorders>
              <w:top w:val="single" w:color="CCCCCC" w:sz="1"/>
              <w:left w:val="single" w:color="CCCCCC" w:sz="1"/>
              <w:bottom w:val="single" w:color="CCCCCC" w:sz="1"/>
              <w:right w:val="single" w:color="CCCCCC" w:sz="1"/>
            </w:tcBorders>
            <w:shd w:fill="D9EAF0" w:val="clear"/>
            <w:tcMar>
              <w:top w:type="dxa" w:w="80"/>
              <w:left w:type="dxa" w:w="140"/>
              <w:bottom w:type="dxa" w:w="80"/>
              <w:right w:type="dxa" w:w="140"/>
            </w:tcMar>
            <w:vAlign w:val="center"/>
          </w:tcPr>
          <w:p>
            <w:r>
              <w:rPr>
                <w:rFonts w:ascii="Aptos" w:cs="Aptos" w:eastAsia="Aptos" w:hAnsi="Aptos"/>
                <w:b/>
                <w:bCs/>
                <w:sz w:val="18"/>
                <w:szCs w:val="18"/>
              </w:rPr>
              <w:t xml:space="preserve">Examples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External System Layer</w:t>
            </w:r>
          </w:p>
        </w:tc>
        <w:tc>
          <w:tcPr>
            <w:tcW w:type="dxa" w:w="33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Controls access, validates requests, manages workflow, protects services, stores results, and supports human review.</w:t>
            </w:r>
          </w:p>
        </w:tc>
        <w:tc>
          <w:tcPr>
            <w:tcW w:type="dxa" w:w="3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Authentication, RBAC, organization isolation, file/type/size checks, API routing, rate limiting, job queue, audit logs,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AI Privacy Preprocessing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Transforms validated case data into privacy-protected, model-ready input.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PII redaction, local speaker-ID remapping, message ordering, relative timestamps, completeness checks, text cleanup.</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AI Analysis Pipeline</w:t>
            </w:r>
          </w:p>
        </w:tc>
        <w:tc>
          <w:tcPr>
            <w:tcW w:type="dxa" w:w="33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Analyzes the prepared conversation and returns structured decision-support outputs.</w:t>
            </w:r>
          </w:p>
        </w:tc>
        <w:tc>
          <w:tcPr>
            <w:tcW w:type="dxa" w:w="3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Rolling windows, signal extraction, model inference, rules, confidence, evidence, risk scoring.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Human Decision Layer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Interprets results and determines organizational action.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Review, prioritize, request more information, refer, monitor, or close the case.</w:t>
            </w:r>
          </w:p>
        </w:tc>
      </w:tr>
    </w:tbl>
    <w:p>
      <w:r>
        <w:rPr>
          <w:sz w:val="4"/>
          <w:szCs w:val="4"/>
        </w:rPr>
        <w:t xml:space="preserve"/>
      </w:r>
    </w:p>
    <w:p>
      <w:pPr>
        <w:pStyle w:val="Heading1"/>
        <w:spacing w:after="120" w:before="360"/>
      </w:pPr>
      <w:r>
        <w:rPr>
          <w:rFonts w:ascii="Aptos" w:cs="Aptos" w:eastAsia="Aptos" w:hAnsi="Aptos"/>
          <w:b/>
          <w:bCs/>
          <w:color w:val="1F4E79"/>
          <w:sz w:val="28"/>
          <w:szCs w:val="28"/>
        </w:rPr>
        <w:t xml:space="preserve">3. Recommended Final External Architecture</w:t>
      </w:r>
    </w:p>
    <w:p>
      <w:pPr>
        <w:spacing w:after="80" w:before="80"/>
      </w:pPr>
      <w:r>
        <w:rPr>
          <w:rFonts w:ascii="Aptos" w:cs="Aptos" w:eastAsia="Aptos" w:hAnsi="Aptos"/>
          <w:sz w:val="20"/>
          <w:szCs w:val="20"/>
        </w:rPr>
        <w:t xml:space="preserve">The architecture supports three distinct request paths: case submission for AI analysis, direct retrieval of existing cases and results, and submission of analyst review decisions. These paths converge on protected storage as the system of record.</w:t>
      </w:r>
    </w:p>
    <w:p>
      <w:r>
        <w:rPr>
          <w:sz w:val="4"/>
          <w:szCs w:val="4"/>
        </w:rPr>
        <w:t xml:space="preserve"/>
      </w:r>
    </w:p>
    <w:p>
      <w:pPr>
        <w:pBdr>
          <w:left w:val="single" w:color="AAAAAA" w:sz="6" w:space="8"/>
        </w:pBdr>
        <w:shd w:fill="F5F5F5" w:val="clear"/>
        <w:spacing w:after="120" w:before="120"/>
        <w:ind w:left="360"/>
        <w:keepLines/>
      </w:pPr>
      <w:r>
        <w:rPr>
          <w:rFonts w:ascii="Courier New" w:cs="Courier New" w:eastAsia="Courier New" w:hAnsi="Courier New"/>
          <w:sz w:val="17"/>
          <w:szCs w:val="17"/>
        </w:rPr>
        <w:t xml:space="preserve">                    Analyst Web Dashboard</w:t>
        <w:br/>
        <w:t xml:space="preserve">                            |</w:t>
        <w:br/>
        <w:t xml:space="preserve">               HTTPS / Authentication / RBAC</w:t>
        <w:br/>
        <w:t xml:space="preserve">                            |</w:t>
        <w:br/>
        <w:t xml:space="preserve">       +--------------------+-------------------+</w:t>
        <w:br/>
        <w:t xml:space="preserve">       |                    |                   |</w:t>
        <w:br/>
        <w:t xml:space="preserve">  Submit case          Read cases        Submit decision</w:t>
        <w:br/>
        <w:t xml:space="preserve">       |                    |                   |</w:t>
        <w:br/>
        <w:t xml:space="preserve">  Case Service        Query Service       Review Service</w:t>
        <w:br/>
        <w:t xml:space="preserve">  Create/Update      Cases/Results       Decision/Referral</w:t>
        <w:br/>
        <w:t xml:space="preserve">       |                    |                   |</w:t>
        <w:br/>
        <w:t xml:space="preserve">  Request Validation        |            Audit Log Service</w:t>
        <w:br/>
        <w:t xml:space="preserve">       |                    |                   |</w:t>
        <w:br/>
        <w:t xml:space="preserve">  AI Preprocessing          |                   |</w:t>
        <w:br/>
        <w:t xml:space="preserve">  PII Redaction             |                   |</w:t>
        <w:br/>
        <w:t xml:space="preserve">       |                    |                   |</w:t>
        <w:br/>
        <w:t xml:space="preserve">  Durable Job Queue         |                   |</w:t>
        <w:br/>
        <w:t xml:space="preserve">       |                    |                   |</w:t>
        <w:br/>
        <w:t xml:space="preserve">  AI Analysis Workers       |                   |</w:t>
        <w:br/>
        <w:t xml:space="preserve">       |                    |                   |</w:t>
        <w:br/>
        <w:t xml:space="preserve">  Explainability Service    |                   |</w:t>
        <w:br/>
        <w:t xml:space="preserve">  (signals, evidence,       |                   |</w:t>
        <w:br/>
        <w:t xml:space="preserve">   scores → Results)      |                   |</w:t>
        <w:br/>
        <w:t xml:space="preserve">       |                    |                   |</w:t>
        <w:br/>
        <w:t xml:space="preserve">       +--------------------+-------------------+</w:t>
        <w:br/>
        <w:t xml:space="preserve">                            |</w:t>
      </w:r>
    </w:p>
    <w:p>
      <w:r>
        <w:rPr>
          <w:sz w:val="4"/>
          <w:szCs w:val="4"/>
        </w:rPr>
        <w:t xml:space="preserve"/>
      </w:r>
    </w:p>
    <w:tbl>
      <w:tblPr>
        <w:tblW w:type="auto" w:w="0"/>
        <w:tblLook w:firstColumn="1" w:firstRow="1" w:lastColumn="0" w:lastRow="0" w:noHBand="0" w:noVBand="1" w:val="04A0"/>
      </w:tblPr>
      <w:tblGrid>
        <w:gridCol w:w="3120"/>
        <w:gridCol w:w="3120"/>
        <w:gridCol w:w="3120"/>
      </w:tblGrid>
      <w:tr>
        <w:tc>
          <w:tcPr>
            <w:tcW w:type="dxa" w:w="3120"/>
            <w:shd w:val="clear" w:fill="D9EAF0"/>
            <w:tcMar>
              <w:top w:w="80" w:type="dxa"/>
              <w:left w:w="140" w:type="dxa"/>
              <w:bottom w:w="80" w:type="dxa"/>
              <w:right w:w="140" w:type="dxa"/>
            </w:tcMar>
            <w:vAlign w:val="center"/>
            <w:tcBorders>
              <w:top w:val="single" w:sz="1" w:color="CCCCCC"/>
              <w:left w:val="single" w:sz="1" w:color="CCCCCC"/>
              <w:bottom w:val="single" w:sz="1" w:color="CCCCCC"/>
              <w:right w:val="single" w:sz="1" w:color="CCCCCC"/>
            </w:tcBorders>
          </w:tcPr>
          <w:p>
            <w:r/>
            <w:r>
              <w:rPr>
                <w:rFonts w:ascii="Aptos" w:hAnsi="Aptos" w:eastAsia="Aptos" w:cs="Aptos"/>
                <w:b/>
                <w:sz w:val="18"/>
              </w:rPr>
              <w:t>PostgreSQL / Primary Store</w:t>
            </w:r>
          </w:p>
        </w:tc>
        <w:tc>
          <w:tcPr>
            <w:tcW w:type="dxa" w:w="3120"/>
            <w:shd w:val="clear" w:fill="D9EAF0"/>
            <w:tcMar>
              <w:top w:w="80" w:type="dxa"/>
              <w:left w:w="140" w:type="dxa"/>
              <w:bottom w:w="80" w:type="dxa"/>
              <w:right w:w="140" w:type="dxa"/>
            </w:tcMar>
            <w:vAlign w:val="center"/>
            <w:tcBorders>
              <w:top w:val="single" w:sz="1" w:color="CCCCCC"/>
              <w:left w:val="single" w:sz="1" w:color="CCCCCC"/>
              <w:bottom w:val="single" w:sz="1" w:color="CCCCCC"/>
              <w:right w:val="single" w:sz="1" w:color="CCCCCC"/>
            </w:tcBorders>
          </w:tcPr>
          <w:p>
            <w:r/>
            <w:r>
              <w:rPr>
                <w:rFonts w:ascii="Aptos" w:hAnsi="Aptos" w:eastAsia="Aptos" w:cs="Aptos"/>
                <w:b/>
                <w:sz w:val="18"/>
              </w:rPr>
              <w:t>Audit Store</w:t>
            </w:r>
          </w:p>
        </w:tc>
        <w:tc>
          <w:tcPr>
            <w:tcW w:type="dxa" w:w="3120"/>
            <w:shd w:val="clear" w:fill="D9EAF0"/>
            <w:tcMar>
              <w:top w:w="80" w:type="dxa"/>
              <w:left w:w="140" w:type="dxa"/>
              <w:bottom w:w="80" w:type="dxa"/>
              <w:right w:w="140" w:type="dxa"/>
            </w:tcMar>
            <w:vAlign w:val="center"/>
            <w:tcBorders>
              <w:top w:val="single" w:sz="1" w:color="CCCCCC"/>
              <w:left w:val="single" w:sz="1" w:color="CCCCCC"/>
              <w:bottom w:val="single" w:sz="1" w:color="CCCCCC"/>
              <w:right w:val="single" w:sz="1" w:color="CCCCCC"/>
            </w:tcBorders>
          </w:tcPr>
          <w:p>
            <w:r/>
            <w:r>
              <w:rPr>
                <w:rFonts w:ascii="Aptos" w:hAnsi="Aptos" w:eastAsia="Aptos" w:cs="Aptos"/>
                <w:b/>
                <w:sz w:val="18"/>
              </w:rPr>
              <w:t>Object Storage</w:t>
            </w:r>
          </w:p>
        </w:tc>
      </w:tr>
      <w:tr>
        <w:tc>
          <w:tcPr>
            <w:tcW w:type="dxa" w:w="3120"/>
            <w:shd w:val="clear" w:fill="FAFAFA"/>
            <w:tcMar>
              <w:top w:w="80" w:type="dxa"/>
              <w:left w:w="140" w:type="dxa"/>
              <w:bottom w:w="80" w:type="dxa"/>
              <w:right w:w="140" w:type="dxa"/>
            </w:tcMar>
            <w:vAlign w:val="center"/>
            <w:tcBorders>
              <w:top w:val="single" w:sz="1" w:color="CCCCCC"/>
              <w:left w:val="single" w:sz="1" w:color="CCCCCC"/>
              <w:bottom w:val="single" w:sz="1" w:color="CCCCCC"/>
              <w:right w:val="single" w:sz="1" w:color="CCCCCC"/>
            </w:tcBorders>
          </w:tcPr>
          <w:p>
            <w:r/>
            <w:r>
              <w:rPr>
                <w:rFonts w:ascii="Aptos" w:hAnsi="Aptos" w:eastAsia="Aptos" w:cs="Aptos"/>
                <w:b w:val="0"/>
                <w:sz w:val="18"/>
              </w:rPr>
              <w:t>Cases, Results, Decisions, and case_files / model_artifacts reference rows.</w:t>
            </w:r>
          </w:p>
        </w:tc>
        <w:tc>
          <w:tcPr>
            <w:tcW w:type="dxa" w:w="3120"/>
            <w:shd w:val="clear" w:fill="FAFAFA"/>
            <w:tcMar>
              <w:top w:w="80" w:type="dxa"/>
              <w:left w:w="140" w:type="dxa"/>
              <w:bottom w:w="80" w:type="dxa"/>
              <w:right w:w="140" w:type="dxa"/>
            </w:tcMar>
            <w:vAlign w:val="center"/>
            <w:tcBorders>
              <w:top w:val="single" w:sz="1" w:color="CCCCCC"/>
              <w:left w:val="single" w:sz="1" w:color="CCCCCC"/>
              <w:bottom w:val="single" w:sz="1" w:color="CCCCCC"/>
              <w:right w:val="single" w:sz="1" w:color="CCCCCC"/>
            </w:tcBorders>
          </w:tcPr>
          <w:p>
            <w:r/>
            <w:r>
              <w:rPr>
                <w:rFonts w:ascii="Aptos" w:hAnsi="Aptos" w:eastAsia="Aptos" w:cs="Aptos"/>
                <w:b w:val="0"/>
                <w:sz w:val="18"/>
              </w:rPr>
              <w:t>Append-only audit and DLQ metadata.</w:t>
            </w:r>
          </w:p>
        </w:tc>
        <w:tc>
          <w:tcPr>
            <w:tcW w:type="dxa" w:w="3120"/>
            <w:shd w:val="clear" w:fill="FAFAFA"/>
            <w:tcMar>
              <w:top w:w="80" w:type="dxa"/>
              <w:left w:w="140" w:type="dxa"/>
              <w:bottom w:w="80" w:type="dxa"/>
              <w:right w:w="140" w:type="dxa"/>
            </w:tcMar>
            <w:vAlign w:val="center"/>
            <w:tcBorders>
              <w:top w:val="single" w:sz="1" w:color="CCCCCC"/>
              <w:left w:val="single" w:sz="1" w:color="CCCCCC"/>
              <w:bottom w:val="single" w:sz="1" w:color="CCCCCC"/>
              <w:right w:val="single" w:sz="1" w:color="CCCCCC"/>
            </w:tcBorders>
          </w:tcPr>
          <w:p>
            <w:r/>
            <w:r>
              <w:rPr>
                <w:rFonts w:ascii="Aptos" w:hAnsi="Aptos" w:eastAsia="Aptos" w:cs="Aptos"/>
                <w:b w:val="0"/>
                <w:sz w:val="18"/>
              </w:rPr>
              <w:t>Attachments, large JSON, exports, model artifacts (referenced via case_files / model_artifacts).</w:t>
            </w:r>
          </w:p>
        </w:tc>
      </w:tr>
    </w:tbl>
    <w:p>
      <w:pPr>
        <w:spacing w:after="80" w:before="80"/>
      </w:pPr>
      <w:r>
        <w:rPr>
          <w:rFonts w:ascii="Aptos" w:cs="Aptos" w:eastAsia="Aptos" w:hAnsi="Aptos"/>
          <w:b/>
          <w:bCs/>
          <w:sz w:val="20"/>
          <w:szCs w:val="20"/>
        </w:rPr>
        <w:t xml:space="preserve">Cross-cutting components: </w:t>
      </w:r>
      <w:r>
        <w:rPr>
          <w:rFonts w:ascii="Aptos" w:cs="Aptos" w:eastAsia="Aptos" w:hAnsi="Aptos"/>
          <w:sz w:val="20"/>
          <w:szCs w:val="20"/>
        </w:rPr>
        <w:t xml:space="preserve">Redis for rate-limit counters, short-lived job status, and version metadata cache. Monitoring and observability for infrastructure, application, model behavior, and safety-workflow metrics.</w:t>
      </w:r>
    </w:p>
    <w:p>
      <w:pPr>
        <w:spacing w:after="80" w:before="80"/>
      </w:pPr>
      <w:r>
        <w:rPr>
          <w:rFonts w:ascii="Aptos" w:cs="Aptos" w:eastAsia="Aptos" w:hAnsi="Aptos"/>
          <w:b/>
          <w:bCs/>
          <w:sz w:val="20"/>
          <w:szCs w:val="20"/>
        </w:rPr>
        <w:t xml:space="preserve">Audit store separation: </w:t>
      </w:r>
      <w:r>
        <w:rPr>
          <w:rFonts w:ascii="Aptos" w:cs="Aptos" w:eastAsia="Aptos" w:hAnsi="Aptos"/>
          <w:sz w:val="20"/>
          <w:szCs w:val="20"/>
        </w:rPr>
        <w:t xml:space="preserve">In the prototype, audit records may use a separate append-only schema within PostgreSQL with restricted write permissions. In production, they should use an independently retained audit store to ensure immutability cannot be bypassed by application-layer access.</w:t>
      </w:r>
    </w:p>
    <w:p>
      <w:pPr>
        <w:spacing w:before="80" w:after="80"/>
      </w:pPr>
      <w:r>
        <w:rPr>
          <w:rFonts w:ascii="Aptos" w:hAnsi="Aptos" w:eastAsia="Aptos" w:cs="Aptos"/>
          <w:b/>
          <w:sz w:val="20"/>
        </w:rPr>
        <w:t xml:space="preserve">Storage technology decision: </w:t>
      </w:r>
      <w:r>
        <w:rPr>
          <w:rFonts w:ascii="Aptos" w:hAnsi="Aptos" w:eastAsia="Aptos" w:cs="Aptos"/>
          <w:b w:val="0"/>
          <w:sz w:val="20"/>
        </w:rPr>
        <w:t>PostgreSQL is the system of record for organizations, users, cases, redacted messages, jobs, results, decisions, and audit/DLQ metadata, enforced with foreign keys, multi-table ACID transactions, and Row-Level Security. Object storage holds binary attachments and model artifacts regardless of size, plus structured text or JSON exceeding a configurable 100 MB threshold; PostgreSQL stores reference metadata for these objects in case_files for case-scoped attachments and in model_artifacts for model files (Sections 15.9–15.10), never the object content itself. Redis or an in-memory HashMap is used only for short-lived, rebuildable state — job status, rate limits, sessions, cache — and is never the sole copy of a case, decision, result, or audit event. Full rationale is in the companion Final Database Storage Design and Technology Tradeoff Report.</w:t>
      </w:r>
    </w:p>
    <w:p>
      <w:r>
        <w:rPr>
          <w:sz w:val="4"/>
          <w:szCs w:val="4"/>
        </w:rPr>
        <w:t xml:space="preserve"/>
      </w:r>
    </w:p>
    <w:p>
      <w:pPr>
        <w:pStyle w:val="Heading1"/>
        <w:spacing w:after="120" w:before="360"/>
      </w:pPr>
      <w:r>
        <w:rPr>
          <w:rFonts w:ascii="Aptos" w:cs="Aptos" w:eastAsia="Aptos" w:hAnsi="Aptos"/>
          <w:b/>
          <w:bCs/>
          <w:color w:val="1F4E79"/>
          <w:sz w:val="28"/>
          <w:szCs w:val="28"/>
        </w:rPr>
        <w:t xml:space="preserve">4. Authentication, Authorization, and Data Isolation</w:t>
      </w:r>
    </w:p>
    <w:p>
      <w:pPr>
        <w:spacing w:after="80" w:before="80"/>
      </w:pPr>
      <w:r>
        <w:rPr>
          <w:rFonts w:ascii="Aptos" w:cs="Aptos" w:eastAsia="Aptos" w:hAnsi="Aptos"/>
          <w:sz w:val="20"/>
          <w:szCs w:val="20"/>
        </w:rPr>
        <w:t xml:space="preserve">The API layer enforces authentication and role-based authorization on every request. In multi-organization deployments, data isolation requires that every query verifies the authenticated user’s role, organization membership, and case assignment before returning data.</w:t>
      </w:r>
    </w:p>
    <w:p>
      <w:pPr>
        <w:spacing w:before="80" w:after="80"/>
      </w:pPr>
      <w:r>
        <w:rPr>
          <w:rFonts w:ascii="Aptos" w:hAnsi="Aptos" w:eastAsia="Aptos" w:cs="Aptos"/>
          <w:b/>
          <w:sz w:val="20"/>
        </w:rPr>
        <w:t xml:space="preserve">Database-level enforcement: </w:t>
      </w:r>
      <w:r>
        <w:rPr>
          <w:rFonts w:ascii="Aptos" w:hAnsi="Aptos" w:eastAsia="Aptos" w:cs="Aptos"/>
          <w:b w:val="0"/>
          <w:sz w:val="20"/>
        </w:rPr>
        <w:t>Organization isolation does not rely on application code alone: PostgreSQL Row-Level Security policies scoped per organization enforce isolation underneath the API's RBAC checks, the application's database service account holds a least-privilege role, and the audit schema grants insert-only permissions to application code.</w:t>
      </w:r>
    </w:p>
    <w:p>
      <w:r>
        <w:rPr>
          <w:sz w:val="4"/>
          <w:szCs w:val="4"/>
        </w:rPr>
        <w:t xml:space="preserve"/>
      </w:r>
    </w:p>
    <w:p>
      <w:pPr>
        <w:pStyle w:val="Heading2"/>
        <w:spacing w:after="80" w:before="240"/>
      </w:pPr>
      <w:r>
        <w:rPr>
          <w:rFonts w:ascii="Aptos" w:cs="Aptos" w:eastAsia="Aptos" w:hAnsi="Aptos"/>
          <w:b/>
          <w:bCs/>
          <w:sz w:val="24"/>
          <w:szCs w:val="24"/>
        </w:rPr>
        <w:t xml:space="preserve">4.1 Access Control Check Order</w:t>
      </w:r>
    </w:p>
    <w:p>
      <w:pPr>
        <w:pBdr>
          <w:left w:val="single" w:color="AAAAAA" w:sz="6" w:space="8"/>
        </w:pBdr>
        <w:shd w:fill="F5F5F5" w:val="clear"/>
        <w:spacing w:after="120" w:before="120"/>
        <w:ind w:left="360"/>
        <w:keepLines/>
      </w:pPr>
      <w:r>
        <w:rPr>
          <w:rFonts w:ascii="Courier New" w:cs="Courier New" w:eastAsia="Courier New" w:hAnsi="Courier New"/>
          <w:sz w:val="17"/>
          <w:szCs w:val="17"/>
        </w:rPr>
        <w:t xml:space="preserve">Authenticated user</w:t>
        <w:br/>
        <w:t xml:space="preserve">        ↓</w:t>
        <w:br/>
        <w:t xml:space="preserve">Role permission check</w:t>
        <w:br/>
        <w:t xml:space="preserve">        ↓</w:t>
        <w:br/>
        <w:t xml:space="preserve">Organization ownership check</w:t>
        <w:br/>
        <w:t xml:space="preserve">        ↓</w:t>
        <w:br/>
        <w:t xml:space="preserve">Case assignment or authorized scope check</w:t>
      </w:r>
    </w:p>
    <w:p>
      <w:r>
        <w:rPr>
          <w:sz w:val="4"/>
          <w:szCs w:val="4"/>
        </w:rPr>
        <w:t xml:space="preserve"/>
      </w:r>
    </w:p>
    <w:p>
      <w:pPr>
        <w:pStyle w:val="Heading2"/>
        <w:spacing w:after="80" w:before="240"/>
      </w:pPr>
      <w:r>
        <w:rPr>
          <w:rFonts w:ascii="Aptos" w:cs="Aptos" w:eastAsia="Aptos" w:hAnsi="Aptos"/>
          <w:b/>
          <w:bCs/>
          <w:sz w:val="24"/>
          <w:szCs w:val="24"/>
        </w:rPr>
        <w:t xml:space="preserve">4.2 Recommended Roles</w:t>
      </w:r>
    </w:p>
    <w:p>
      <w:r>
        <w:rPr>
          <w:sz w:val="4"/>
          <w:szCs w:val="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CCCCCC" w:sz="1"/>
              <w:left w:val="single" w:color="CCCCCC" w:sz="1"/>
              <w:bottom w:val="single" w:color="CCCCCC" w:sz="1"/>
              <w:right w:val="single" w:color="CCCCCC" w:sz="1"/>
            </w:tcBorders>
            <w:shd w:fill="D9EAF0" w:val="clear"/>
            <w:tcMar>
              <w:top w:type="dxa" w:w="80"/>
              <w:left w:type="dxa" w:w="140"/>
              <w:bottom w:type="dxa" w:w="80"/>
              <w:right w:type="dxa" w:w="140"/>
            </w:tcMar>
            <w:vAlign w:val="center"/>
          </w:tcPr>
          <w:p>
            <w:r>
              <w:rPr>
                <w:rFonts w:ascii="Aptos" w:cs="Aptos" w:eastAsia="Aptos" w:hAnsi="Aptos"/>
                <w:b/>
                <w:bCs/>
                <w:sz w:val="18"/>
                <w:szCs w:val="18"/>
              </w:rPr>
              <w:t xml:space="preserve">Role</w:t>
            </w:r>
          </w:p>
        </w:tc>
        <w:tc>
          <w:tcPr>
            <w:tcW w:type="dxa" w:w="6800"/>
            <w:tcBorders>
              <w:top w:val="single" w:color="CCCCCC" w:sz="1"/>
              <w:left w:val="single" w:color="CCCCCC" w:sz="1"/>
              <w:bottom w:val="single" w:color="CCCCCC" w:sz="1"/>
              <w:right w:val="single" w:color="CCCCCC" w:sz="1"/>
            </w:tcBorders>
            <w:shd w:fill="D9EAF0" w:val="clear"/>
            <w:tcMar>
              <w:top w:type="dxa" w:w="80"/>
              <w:left w:type="dxa" w:w="140"/>
              <w:bottom w:type="dxa" w:w="80"/>
              <w:right w:type="dxa" w:w="140"/>
            </w:tcMar>
            <w:vAlign w:val="center"/>
          </w:tcPr>
          <w:p>
            <w:r>
              <w:rPr>
                <w:rFonts w:ascii="Aptos" w:cs="Aptos" w:eastAsia="Aptos" w:hAnsi="Aptos"/>
                <w:b/>
                <w:bCs/>
                <w:sz w:val="18"/>
                <w:szCs w:val="18"/>
              </w:rPr>
              <w:t xml:space="preserve">Permissions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Analyst</w:t>
            </w:r>
          </w:p>
        </w:tc>
        <w:tc>
          <w:tcPr>
            <w:tcW w:type="dxa" w:w="6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View assigned cases, submit review decisions.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Senior Reviewer</w:t>
            </w:r>
          </w:p>
        </w:tc>
        <w:tc>
          <w:tcPr>
            <w:tcW w:type="dxa" w:w="6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View high-risk cases, override analyst decisions.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Safeguarding Specialist</w:t>
            </w:r>
          </w:p>
        </w:tc>
        <w:tc>
          <w:tcPr>
            <w:tcW w:type="dxa" w:w="6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Access referral data, record safeguarding outcomes.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Organization Admin</w:t>
            </w:r>
          </w:p>
        </w:tc>
        <w:tc>
          <w:tcPr>
            <w:tcW w:type="dxa" w:w="6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Manage members and roles; cannot modify analysis results.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System Admin</w:t>
            </w:r>
          </w:p>
        </w:tc>
        <w:tc>
          <w:tcPr>
            <w:tcW w:type="dxa" w:w="6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Maintain platform infrastructure; no default access to case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Auditor</w:t>
            </w:r>
          </w:p>
        </w:tc>
        <w:tc>
          <w:tcPr>
            <w:tcW w:type="dxa" w:w="6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Read-only access to audit metadata; cannot modify cases.</w:t>
            </w:r>
          </w:p>
        </w:tc>
      </w:tr>
    </w:tbl>
    <w:p>
      <w:r>
        <w:rPr>
          <w:sz w:val="4"/>
          <w:szCs w:val="4"/>
        </w:rPr>
        <w:t xml:space="preserve"/>
      </w:r>
    </w:p>
    <w:p>
      <w:pPr>
        <w:spacing w:after="80"/>
      </w:pPr>
      <w:r>
        <w:t>Implementation note (2026-06-21): verified against `backend/auth/roles.py` and every router's `require_permission`/`can_access_case` call. Of the eleven permissions this section's role table implies, five are directly enforced via `require_permission` on a specific endpoint -- `submit_case` (POST /cases), `view_assigned_cases` (GET /cases, GET /cases/{id}), `submit_decision` (POST /cases/{id}/decisions), `read_audit_log` (GET /audit), and `maintain_platform` (GET/POST /admin/* -- DLQ list/redrive/close, metrics, retention). Two more are enforced indirectly through `can_access_case()`'s case-level scoping rather than a router-level permission check: `view_all_org_cases` (whether a case outside the caller's own assignment is visible at all) and `access_referral_data` (visible once a case's status is Referred). The remaining four are defined in the role table above but have no enforcing code path anywhere in `backend/`: `view_high_risk_cases`; `override_decision` (Senior Reviewer submits decisions through the same `submit_decision` endpoint as Analyst -- there is no separate “override” action); `manage_org_members` (no Organization Admin endpoint exists at all; the only way to create a user is `backend/seed.py`, a one-time script -- see External_Architecture_Gap_Analysis.md gap #2); and `record_safeguarding_outcome`. This is a role-table-vs-implementation gap, not a security hole: every permission that is enforced is enforced correctly and is organization-scoped (Section 4.1); the four dormant permissions simply have no corresponding feature built yet. The Streamlit dashboard (`frontend/app.py`) was also updated to read the caller's role from the JWT and only render the tabs matching that role's enforced permissions -- Submit Case (`submit_case`), Case Queue (`view_assigned_cases`), Audit Log (`read_audit_log`, new), and Admin (`maintain_platform`, new -- metrics, DLQ list/redrive/close, retention sweep); Organization Admin sees an explanatory message instead of a broken tab, since `manage_org_members` still has no backend endpoint to call. Before this fix the dashboard showed the same two tabs (Submit Case, Case Queue) to every role regardless of permissions, so Auditor, System Admin, and Organization Admin logins hit an immediate 403 on both with no usable view at all, and Safeguarding Specialist could open Case Queue but got a 403 attempting Submit Case (which it was never permitted to use).</w:t>
      </w:r>
    </w:p>
    <w:p>
      <w:pPr>
        <w:pStyle w:val="Heading2"/>
        <w:spacing w:after="80" w:before="240"/>
      </w:pPr>
      <w:r>
        <w:rPr>
          <w:rFonts w:ascii="Aptos" w:cs="Aptos" w:eastAsia="Aptos" w:hAnsi="Aptos"/>
          <w:b/>
          <w:bCs/>
          <w:sz w:val="24"/>
          <w:szCs w:val="24"/>
        </w:rPr>
        <w:t xml:space="preserve">4.3 Session and Token Policy</w:t>
      </w:r>
    </w:p>
    <w:p>
      <w:pPr>
        <w:pStyle w:val="ListParagraph"/>
        <w:numPr>
          <w:ilvl w:val="0"/>
          <w:numId w:val="2"/>
        </w:numPr>
        <w:spacing w:after="40" w:before="40"/>
      </w:pPr>
      <w:r>
        <w:rPr>
          <w:rFonts w:ascii="Aptos" w:cs="Aptos" w:eastAsia="Aptos" w:hAnsi="Aptos"/>
          <w:sz w:val="20"/>
          <w:szCs w:val="20"/>
        </w:rPr>
        <w:t xml:space="preserve">Short-lived access tokens: 15–30 minutes.</w:t>
      </w:r>
    </w:p>
    <w:p>
      <w:pPr>
        <w:pStyle w:val="ListParagraph"/>
        <w:numPr>
          <w:ilvl w:val="0"/>
          <w:numId w:val="2"/>
        </w:numPr>
        <w:spacing w:after="40" w:before="40"/>
      </w:pPr>
      <w:r>
        <w:rPr>
          <w:rFonts w:ascii="Aptos" w:cs="Aptos" w:eastAsia="Aptos" w:hAnsi="Aptos"/>
          <w:sz w:val="20"/>
          <w:szCs w:val="20"/>
        </w:rPr>
        <w:t xml:space="preserve">Refresh tokens: hours to one day, configured per organization policy.</w:t>
      </w:r>
    </w:p>
    <w:p>
      <w:pPr>
        <w:pStyle w:val="ListParagraph"/>
        <w:numPr>
          <w:ilvl w:val="0"/>
          <w:numId w:val="2"/>
        </w:numPr>
        <w:spacing w:after="40" w:before="40"/>
      </w:pPr>
      <w:r>
        <w:rPr>
          <w:rFonts w:ascii="Aptos" w:cs="Aptos" w:eastAsia="Aptos" w:hAnsi="Aptos"/>
          <w:sz w:val="20"/>
          <w:szCs w:val="20"/>
        </w:rPr>
        <w:t xml:space="preserve">Re-authentication required for sensitive operations (referral submission, bulk export).</w:t>
      </w:r>
    </w:p>
    <w:p>
      <w:pPr>
        <w:pStyle w:val="ListParagraph"/>
        <w:numPr>
          <w:ilvl w:val="0"/>
          <w:numId w:val="2"/>
        </w:numPr>
        <w:spacing w:after="40" w:before="40"/>
      </w:pPr>
      <w:r>
        <w:rPr>
          <w:rFonts w:ascii="Aptos" w:cs="Aptos" w:eastAsia="Aptos" w:hAnsi="Aptos"/>
          <w:sz w:val="20"/>
          <w:szCs w:val="20"/>
        </w:rPr>
        <w:t xml:space="preserve">Session revocation on logout, role change, or account suspension.</w:t>
      </w:r>
    </w:p>
    <w:p>
      <w:pPr>
        <w:pStyle w:val="ListParagraph"/>
        <w:numPr>
          <w:ilvl w:val="0"/>
          <w:numId w:val="2"/>
        </w:numPr>
        <w:spacing w:after="40" w:before="40"/>
      </w:pPr>
      <w:r>
        <w:rPr>
          <w:rFonts w:ascii="Aptos" w:cs="Aptos" w:eastAsia="Aptos" w:hAnsi="Aptos"/>
          <w:sz w:val="20"/>
          <w:szCs w:val="20"/>
        </w:rPr>
        <w:t xml:space="preserve">MFA required in production deployments.</w:t>
      </w:r>
    </w:p>
    <w:p>
      <w:pPr>
        <w:pStyle w:val="ListParagraph"/>
        <w:numPr>
          <w:ilvl w:val="0"/>
          <w:numId w:val="2"/>
        </w:numPr>
        <w:spacing w:after="40" w:before="40"/>
      </w:pPr>
      <w:r>
        <w:rPr>
          <w:rFonts w:ascii="Aptos" w:cs="Aptos" w:eastAsia="Aptos" w:hAnsi="Aptos"/>
          <w:sz w:val="20"/>
          <w:szCs w:val="20"/>
        </w:rPr>
        <w:t xml:space="preserve">All authentication events written to the audit log.</w:t>
      </w:r>
    </w:p>
    <w:p>
      <w:r>
        <w:rPr>
          <w:sz w:val="4"/>
          <w:szCs w:val="4"/>
        </w:rPr>
        <w:t xml:space="preserve"/>
      </w:r>
    </w:p>
    <w:p>
      <w:pPr>
        <w:pStyle w:val="Heading1"/>
        <w:spacing w:after="120" w:before="360"/>
      </w:pPr>
      <w:r>
        <w:rPr>
          <w:rFonts w:ascii="Aptos" w:cs="Aptos" w:eastAsia="Aptos" w:hAnsi="Aptos"/>
          <w:b/>
          <w:bCs/>
          <w:color w:val="1F4E79"/>
          <w:sz w:val="28"/>
          <w:szCs w:val="28"/>
        </w:rPr>
        <w:t xml:space="preserve">5. Caching Policy</w:t>
      </w:r>
    </w:p>
    <w:p>
      <w:pPr>
        <w:spacing w:after="80" w:before="80"/>
      </w:pPr>
      <w:r>
        <w:rPr>
          <w:rFonts w:ascii="Aptos" w:cs="Aptos" w:eastAsia="Aptos" w:hAnsi="Aptos"/>
          <w:sz w:val="20"/>
          <w:szCs w:val="20"/>
        </w:rPr>
        <w:t xml:space="preserve">Caching is an optimization layer, not a primary data store. It is applied only to non-sensitive or already privacy-protected data.</w:t>
      </w:r>
    </w:p>
    <w:p>
      <w:r>
        <w:rPr>
          <w:sz w:val="4"/>
          <w:szCs w:val="4"/>
        </w:rPr>
        <w:t xml:space="preserve"/>
      </w:r>
    </w:p>
    <w:p>
      <w:pPr>
        <w:pStyle w:val="Heading2"/>
        <w:spacing w:after="80" w:before="240"/>
      </w:pPr>
      <w:r>
        <w:rPr>
          <w:rFonts w:ascii="Aptos" w:cs="Aptos" w:eastAsia="Aptos" w:hAnsi="Aptos"/>
          <w:b/>
          <w:bCs/>
          <w:sz w:val="24"/>
          <w:szCs w:val="24"/>
        </w:rPr>
        <w:t xml:space="preserve">5.1 What to Cache</w:t>
      </w:r>
    </w:p>
    <w:p>
      <w:pPr>
        <w:pStyle w:val="ListParagraph"/>
        <w:numPr>
          <w:ilvl w:val="0"/>
          <w:numId w:val="2"/>
        </w:numPr>
        <w:spacing w:after="40" w:before="40"/>
      </w:pPr>
      <w:r>
        <w:rPr>
          <w:rFonts w:ascii="Aptos" w:cs="Aptos" w:eastAsia="Aptos" w:hAnsi="Aptos"/>
          <w:sz w:val="20"/>
          <w:szCs w:val="20"/>
        </w:rPr>
        <w:t xml:space="preserve">Short-lived job status (TTL: 5–15 minutes).</w:t>
      </w:r>
    </w:p>
    <w:p>
      <w:pPr>
        <w:pStyle w:val="ListParagraph"/>
        <w:numPr>
          <w:ilvl w:val="0"/>
          <w:numId w:val="2"/>
        </w:numPr>
        <w:spacing w:after="40" w:before="40"/>
      </w:pPr>
      <w:r>
        <w:rPr>
          <w:rFonts w:ascii="Aptos" w:cs="Aptos" w:eastAsia="Aptos" w:hAnsi="Aptos"/>
          <w:sz w:val="20"/>
          <w:szCs w:val="20"/>
        </w:rPr>
        <w:t xml:space="preserve">Rate-limit counters.</w:t>
      </w:r>
    </w:p>
    <w:p>
      <w:pPr>
        <w:pStyle w:val="ListParagraph"/>
        <w:numPr>
          <w:ilvl w:val="0"/>
          <w:numId w:val="2"/>
        </w:numPr>
        <w:spacing w:after="40" w:before="40"/>
      </w:pPr>
      <w:r>
        <w:rPr>
          <w:rFonts w:ascii="Aptos" w:cs="Aptos" w:eastAsia="Aptos" w:hAnsi="Aptos"/>
          <w:sz w:val="20"/>
          <w:szCs w:val="20"/>
        </w:rPr>
        <w:t xml:space="preserve">Model and rule version metadata.</w:t>
      </w:r>
    </w:p>
    <w:p>
      <w:pPr>
        <w:pStyle w:val="ListParagraph"/>
        <w:numPr>
          <w:ilvl w:val="0"/>
          <w:numId w:val="2"/>
        </w:numPr>
        <w:spacing w:after="40" w:before="40"/>
      </w:pPr>
      <w:r>
        <w:rPr>
          <w:rFonts w:ascii="Aptos" w:cs="Aptos" w:eastAsia="Aptos" w:hAnsi="Aptos"/>
          <w:sz w:val="20"/>
          <w:szCs w:val="20"/>
        </w:rPr>
        <w:t xml:space="preserve">Dashboard configuration and filter presets.</w:t>
      </w:r>
    </w:p>
    <w:p>
      <w:pPr>
        <w:pStyle w:val="ListParagraph"/>
        <w:numPr>
          <w:ilvl w:val="0"/>
          <w:numId w:val="2"/>
        </w:numPr>
        <w:spacing w:after="40" w:before="40"/>
      </w:pPr>
      <w:r>
        <w:rPr>
          <w:rFonts w:ascii="Aptos" w:cs="Aptos" w:eastAsia="Aptos" w:hAnsi="Aptos"/>
          <w:sz w:val="20"/>
          <w:szCs w:val="20"/>
        </w:rPr>
        <w:t xml:space="preserve">Identical privacy-protected analysis results, keyed by redacted input hash plus model, rule, and preprocessing versions.</w:t>
      </w:r>
    </w:p>
    <w:p>
      <w:r>
        <w:rPr>
          <w:sz w:val="4"/>
          <w:szCs w:val="4"/>
        </w:rPr>
        <w:t xml:space="preserve"/>
      </w:r>
    </w:p>
    <w:p>
      <w:pPr>
        <w:pStyle w:val="Heading2"/>
        <w:spacing w:after="80" w:before="240"/>
      </w:pPr>
      <w:r>
        <w:rPr>
          <w:rFonts w:ascii="Aptos" w:cs="Aptos" w:eastAsia="Aptos" w:hAnsi="Aptos"/>
          <w:b/>
          <w:bCs/>
          <w:sz w:val="24"/>
          <w:szCs w:val="24"/>
        </w:rPr>
        <w:t xml:space="preserve">5.2 What Not to Cache</w:t>
      </w:r>
    </w:p>
    <w:p>
      <w:pPr>
        <w:pStyle w:val="ListParagraph"/>
        <w:numPr>
          <w:ilvl w:val="0"/>
          <w:numId w:val="2"/>
        </w:numPr>
        <w:spacing w:after="40" w:before="40"/>
      </w:pPr>
      <w:r>
        <w:rPr>
          <w:rFonts w:ascii="Aptos" w:cs="Aptos" w:eastAsia="Aptos" w:hAnsi="Aptos"/>
          <w:sz w:val="20"/>
          <w:szCs w:val="20"/>
        </w:rPr>
        <w:t xml:space="preserve">Raw unredacted conversations.</w:t>
      </w:r>
    </w:p>
    <w:p>
      <w:pPr>
        <w:pStyle w:val="ListParagraph"/>
        <w:numPr>
          <w:ilvl w:val="0"/>
          <w:numId w:val="2"/>
        </w:numPr>
        <w:spacing w:after="40" w:before="40"/>
      </w:pPr>
      <w:r>
        <w:rPr>
          <w:rFonts w:ascii="Aptos" w:cs="Aptos" w:eastAsia="Aptos" w:hAnsi="Aptos"/>
          <w:sz w:val="20"/>
          <w:szCs w:val="20"/>
        </w:rPr>
        <w:t xml:space="preserve">Personally identifiable information.</w:t>
      </w:r>
    </w:p>
    <w:p>
      <w:pPr>
        <w:pStyle w:val="ListParagraph"/>
        <w:numPr>
          <w:ilvl w:val="0"/>
          <w:numId w:val="2"/>
        </w:numPr>
        <w:spacing w:after="40" w:before="40"/>
      </w:pPr>
      <w:r>
        <w:rPr>
          <w:rFonts w:ascii="Aptos" w:cs="Aptos" w:eastAsia="Aptos" w:hAnsi="Aptos"/>
          <w:sz w:val="20"/>
          <w:szCs w:val="20"/>
        </w:rPr>
        <w:t xml:space="preserve">Private analyst notes or referral decisions.</w:t>
      </w:r>
    </w:p>
    <w:p>
      <w:pPr>
        <w:pStyle w:val="ListParagraph"/>
        <w:numPr>
          <w:ilvl w:val="0"/>
          <w:numId w:val="2"/>
        </w:numPr>
        <w:spacing w:after="40" w:before="40"/>
      </w:pPr>
      <w:r>
        <w:rPr>
          <w:rFonts w:ascii="Aptos" w:cs="Aptos" w:eastAsia="Aptos" w:hAnsi="Aptos"/>
          <w:sz w:val="20"/>
          <w:szCs w:val="20"/>
        </w:rPr>
        <w:t xml:space="preserve">Long-lived authentication tokens.</w:t>
      </w:r>
    </w:p>
    <w:p>
      <w:r>
        <w:rPr>
          <w:sz w:val="4"/>
          <w:szCs w:val="4"/>
        </w:rPr>
        <w:t xml:space="preserve"/>
      </w:r>
    </w:p>
    <w:p>
      <w:pPr>
        <w:spacing w:after="80" w:before="80"/>
      </w:pPr>
      <w:r>
        <w:rPr>
          <w:rFonts w:ascii="Aptos" w:cs="Aptos" w:eastAsia="Aptos" w:hAnsi="Aptos"/>
          <w:b/>
          <w:bCs/>
          <w:sz w:val="20"/>
          <w:szCs w:val="20"/>
        </w:rPr>
        <w:t xml:space="preserve">Cache invalidation: </w:t>
      </w:r>
      <w:r>
        <w:rPr>
          <w:rFonts w:ascii="Aptos" w:cs="Aptos" w:eastAsia="Aptos" w:hAnsi="Aptos"/>
          <w:sz w:val="20"/>
          <w:szCs w:val="20"/>
        </w:rPr>
        <w:t xml:space="preserve">Invalidate cached results whenever input data, preprocessing logic, model weights, or rule definitions change. For the prototype, caching may be omitted or implemented in memory. For production, Redis is suitable.</w:t>
      </w:r>
    </w:p>
    <w:p>
      <w:r>
        <w:rPr>
          <w:sz w:val="4"/>
          <w:szCs w:val="4"/>
        </w:rPr>
        <w:t xml:space="preserve"/>
      </w:r>
    </w:p>
    <w:p>
      <w:pPr>
        <w:pStyle w:val="Heading1"/>
        <w:spacing w:after="120" w:before="360"/>
      </w:pPr>
      <w:r>
        <w:rPr>
          <w:rFonts w:ascii="Aptos" w:cs="Aptos" w:eastAsia="Aptos" w:hAnsi="Aptos"/>
          <w:b/>
          <w:bCs/>
          <w:color w:val="1F4E79"/>
          <w:sz w:val="28"/>
          <w:szCs w:val="28"/>
        </w:rPr>
        <w:t xml:space="preserve">6. Rate Limiting and Throttling</w:t>
      </w:r>
    </w:p>
    <w:p>
      <w:pPr>
        <w:spacing w:after="80" w:before="80"/>
      </w:pPr>
      <w:r>
        <w:rPr>
          <w:rFonts w:ascii="Aptos" w:cs="Aptos" w:eastAsia="Aptos" w:hAnsi="Aptos"/>
          <w:sz w:val="20"/>
          <w:szCs w:val="20"/>
        </w:rPr>
        <w:t xml:space="preserve">Both rate limiting and throttling are required because AI inference requests are substantially more expensive than ordinary read operations.</w:t>
      </w:r>
    </w:p>
    <w:p>
      <w:pPr>
        <w:pStyle w:val="ListParagraph"/>
        <w:numPr>
          <w:ilvl w:val="0"/>
          <w:numId w:val="2"/>
        </w:numPr>
        <w:spacing w:after="40" w:before="40"/>
      </w:pPr>
      <w:r>
        <w:rPr>
          <w:rFonts w:ascii="Aptos" w:cs="Aptos" w:eastAsia="Aptos" w:hAnsi="Aptos"/>
          <w:sz w:val="20"/>
          <w:szCs w:val="20"/>
        </w:rPr>
        <w:t xml:space="preserve">Apply endpoint-specific limits rather than a single global limit.</w:t>
      </w:r>
    </w:p>
    <w:p>
      <w:pPr>
        <w:pStyle w:val="ListParagraph"/>
        <w:numPr>
          <w:ilvl w:val="0"/>
          <w:numId w:val="2"/>
        </w:numPr>
        <w:spacing w:after="40" w:before="40"/>
      </w:pPr>
      <w:r>
        <w:rPr>
          <w:rFonts w:ascii="Aptos" w:cs="Aptos" w:eastAsia="Aptos" w:hAnsi="Aptos"/>
          <w:sz w:val="20"/>
          <w:szCs w:val="20"/>
        </w:rPr>
        <w:t xml:space="preserve">Use token-bucket or sliding-window rate limiting at the API layer.</w:t>
      </w:r>
    </w:p>
    <w:p>
      <w:pPr>
        <w:pStyle w:val="ListParagraph"/>
        <w:numPr>
          <w:ilvl w:val="0"/>
          <w:numId w:val="2"/>
        </w:numPr>
        <w:spacing w:after="40" w:before="40"/>
      </w:pPr>
      <w:r>
        <w:rPr>
          <w:rFonts w:ascii="Aptos" w:cs="Aptos" w:eastAsia="Aptos" w:hAnsi="Aptos"/>
          <w:sz w:val="20"/>
          <w:szCs w:val="20"/>
        </w:rPr>
        <w:t xml:space="preserve">Limit concurrent AI jobs per analyst and per organization.</w:t>
      </w:r>
    </w:p>
    <w:p>
      <w:pPr>
        <w:pStyle w:val="ListParagraph"/>
        <w:numPr>
          <w:ilvl w:val="0"/>
          <w:numId w:val="2"/>
        </w:numPr>
        <w:spacing w:after="40" w:before="40"/>
      </w:pPr>
      <w:r>
        <w:rPr>
          <w:rFonts w:ascii="Aptos" w:cs="Aptos" w:eastAsia="Aptos" w:hAnsi="Aptos"/>
          <w:sz w:val="20"/>
          <w:szCs w:val="20"/>
        </w:rPr>
        <w:t xml:space="preserve">When capacity is constrained: queue standard cases, prioritize urgent human-review work, and pause bulk processing.</w:t>
      </w:r>
    </w:p>
    <w:p>
      <w:pPr>
        <w:pStyle w:val="ListParagraph"/>
        <w:numPr>
          <w:ilvl w:val="0"/>
          <w:numId w:val="2"/>
        </w:numPr>
        <w:spacing w:after="40" w:before="40"/>
      </w:pPr>
      <w:r>
        <w:rPr>
          <w:rFonts w:ascii="Aptos" w:cs="Aptos" w:eastAsia="Aptos" w:hAnsi="Aptos"/>
          <w:sz w:val="20"/>
          <w:szCs w:val="20"/>
        </w:rPr>
        <w:t xml:space="preserve">Return HTTP 429 with Retry-After when a client exceeds the allowed rate.</w:t>
      </w:r>
    </w:p>
    <w:p>
      <w:pPr>
        <w:pStyle w:val="Heading2"/>
        <w:spacing w:after="80" w:before="240"/>
      </w:pPr>
      <w:r>
        <w:rPr>
          <w:rFonts w:ascii="Aptos" w:cs="Aptos" w:eastAsia="Aptos" w:hAnsi="Aptos"/>
          <w:b/>
          <w:bCs/>
          <w:color w:val="2E75B6"/>
          <w:sz w:val="24"/>
          <w:szCs w:val="24"/>
        </w:rPr>
        <w:t xml:space="preserve">6.1 Capacity Estimate and Illustrative Limits</w:t>
      </w:r>
    </w:p>
    <w:p>
      <w:pPr>
        <w:spacing w:after="80" w:before="80"/>
      </w:pPr>
      <w:r>
        <w:rPr>
          <w:rFonts w:ascii="Aptos" w:cs="Aptos" w:eastAsia="Aptos" w:hAnsi="Aptos"/>
          <w:sz w:val="20"/>
          <w:szCs w:val="20"/>
        </w:rPr>
        <w:t xml:space="preserve">The following back-of-the-envelope estimates derive illustrative default limits. Final values require load testing and organizational agreement.</w:t>
      </w:r>
    </w:p>
    <w:p>
      <w:pPr>
        <w:spacing w:after="80" w:before="80"/>
      </w:pPr>
      <w:r>
        <w:rPr>
          <w:rFonts w:ascii="Aptos" w:cs="Aptos" w:eastAsia="Aptos" w:hAnsi="Aptos"/>
          <w:b/>
          <w:bCs/>
          <w:sz w:val="20"/>
          <w:szCs w:val="20"/>
        </w:rPr>
        <w:t xml:space="preserve">Assumptions: </w:t>
      </w:r>
      <w:r>
        <w:rPr>
          <w:rFonts w:ascii="Aptos" w:cs="Aptos" w:eastAsia="Aptos" w:hAnsi="Aptos"/>
          <w:sz w:val="20"/>
          <w:szCs w:val="20"/>
        </w:rPr>
        <w:t xml:space="preserve">50 analysts active concurrently across organizations. Each AI inference job takes ~10 seconds on a GPU worker. Target: no analyst waits more than 2 minutes for standard cases.</w:t>
      </w:r>
    </w:p>
    <w:p>
      <w:pPr>
        <w:spacing w:after="80" w:before="80"/>
      </w:pPr>
      <w:r>
        <w:rPr>
          <w:rFonts w:ascii="Aptos" w:cs="Aptos" w:eastAsia="Aptos" w:hAnsi="Aptos"/>
          <w:b/>
          <w:bCs/>
          <w:sz w:val="20"/>
          <w:szCs w:val="20"/>
        </w:rPr>
        <w:t xml:space="preserve">Derivation: </w:t>
      </w:r>
      <w:r>
        <w:rPr>
          <w:rFonts w:ascii="Aptos" w:cs="Aptos" w:eastAsia="Aptos" w:hAnsi="Aptos"/>
          <w:sz w:val="20"/>
          <w:szCs w:val="20"/>
        </w:rPr>
        <w:t xml:space="preserve">To drain 50 jobs within 120 s at 10 s/job requires at least 5 GPU workers: ceil(50 × 10 ÷ 120) = ceil(4.17) = 5. This estimate assumes one active inference job per worker and excludes batching, retry overhead, and utilization headroom. Sustained submissions materially above the illustrative per-analyst limit could create queue growth and reduce fairness across analysts.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2600"/>
        <w:gridCol w:w="3640"/>
      </w:tblGrid>
      <w:tr>
        <w:tc>
          <w:tcPr>
            <w:tcW w:type="dxa" w:w="3120"/>
            <w:shd w:fill="1F4E79" w:val="clear"/>
            <w:tcMar>
              <w:top w:type="dxa" w:w="80"/>
              <w:left w:type="dxa" w:w="120"/>
              <w:bottom w:type="dxa" w:w="80"/>
              <w:right w:type="dxa" w:w="120"/>
            </w:tcMar>
          </w:tcPr>
          <w:p>
            <w:r>
              <w:rPr>
                <w:rFonts w:ascii="Aptos" w:cs="Aptos" w:eastAsia="Aptos" w:hAnsi="Aptos"/>
                <w:b/>
                <w:bCs/>
                <w:color w:val="FFFFFF"/>
                <w:sz w:val="18"/>
                <w:szCs w:val="18"/>
              </w:rPr>
              <w:t xml:space="preserve">Endpoint / Scope</w:t>
            </w:r>
          </w:p>
        </w:tc>
        <w:tc>
          <w:tcPr>
            <w:tcW w:type="dxa" w:w="2600"/>
            <w:shd w:fill="1F4E79" w:val="clear"/>
            <w:tcMar>
              <w:top w:type="dxa" w:w="80"/>
              <w:left w:type="dxa" w:w="120"/>
              <w:bottom w:type="dxa" w:w="80"/>
              <w:right w:type="dxa" w:w="120"/>
            </w:tcMar>
          </w:tcPr>
          <w:p>
            <w:r>
              <w:rPr>
                <w:rFonts w:ascii="Aptos" w:cs="Aptos" w:eastAsia="Aptos" w:hAnsi="Aptos"/>
                <w:b/>
                <w:bCs/>
                <w:color w:val="FFFFFF"/>
                <w:sz w:val="18"/>
                <w:szCs w:val="18"/>
              </w:rPr>
              <w:t xml:space="preserve">Illustrative Limit</w:t>
            </w:r>
          </w:p>
        </w:tc>
        <w:tc>
          <w:tcPr>
            <w:tcW w:type="dxa" w:w="3640"/>
            <w:shd w:fill="1F4E79" w:val="clear"/>
            <w:tcMar>
              <w:top w:type="dxa" w:w="80"/>
              <w:left w:type="dxa" w:w="120"/>
              <w:bottom w:type="dxa" w:w="80"/>
              <w:right w:type="dxa" w:w="120"/>
            </w:tcMar>
          </w:tcPr>
          <w:p>
            <w:r>
              <w:rPr>
                <w:rFonts w:ascii="Aptos" w:cs="Aptos" w:eastAsia="Aptos" w:hAnsi="Aptos"/>
                <w:b/>
                <w:bCs/>
                <w:color w:val="FFFFFF"/>
                <w:sz w:val="18"/>
                <w:szCs w:val="18"/>
              </w:rPr>
              <w:t xml:space="preserve">Rationale</w:t>
            </w:r>
          </w:p>
        </w:tc>
      </w:tr>
      <w:tr>
        <w:tc>
          <w:tcPr>
            <w:tcW w:type="dxa" w:w="3120"/>
            <w:tcMar>
              <w:top w:type="dxa" w:w="80"/>
              <w:left w:type="dxa" w:w="120"/>
              <w:bottom w:type="dxa" w:w="80"/>
              <w:right w:type="dxa" w:w="120"/>
            </w:tcMar>
          </w:tcPr>
          <w:p>
            <w:r>
              <w:rPr>
                <w:rFonts w:ascii="Aptos" w:cs="Aptos" w:eastAsia="Aptos" w:hAnsi="Aptos"/>
                <w:sz w:val="18"/>
                <w:szCs w:val="18"/>
              </w:rPr>
              <w:t>AI job submission (per analyst)</w:t>
            </w:r>
          </w:p>
        </w:tc>
        <w:tc>
          <w:tcPr>
            <w:tcW w:type="dxa" w:w="2600"/>
            <w:tcMar>
              <w:top w:type="dxa" w:w="80"/>
              <w:left w:type="dxa" w:w="120"/>
              <w:bottom w:type="dxa" w:w="80"/>
              <w:right w:type="dxa" w:w="120"/>
            </w:tcMar>
          </w:tcPr>
          <w:p>
            <w:r>
              <w:rPr>
                <w:rFonts w:ascii="Aptos" w:cs="Aptos" w:eastAsia="Aptos" w:hAnsi="Aptos"/>
                <w:sz w:val="18"/>
                <w:szCs w:val="18"/>
              </w:rPr>
              <w:t>5 jobs / minute</w:t>
            </w:r>
          </w:p>
        </w:tc>
        <w:tc>
          <w:tcPr>
            <w:tcW w:type="dxa" w:w="3640"/>
            <w:tcMar>
              <w:top w:type="dxa" w:w="80"/>
              <w:left w:type="dxa" w:w="120"/>
              <w:bottom w:type="dxa" w:w="80"/>
              <w:right w:type="dxa" w:w="120"/>
            </w:tcMar>
          </w:tcPr>
          <w:p>
            <w:r>
              <w:rPr>
                <w:rFonts w:ascii="Aptos" w:cs="Aptos" w:eastAsia="Aptos" w:hAnsi="Aptos"/>
                <w:sz w:val="18"/>
                <w:szCs w:val="18"/>
              </w:rPr>
              <w:t>Prevents single analyst monopolizing worker capacity.</w:t>
            </w:r>
          </w:p>
        </w:tc>
      </w:tr>
      <w:tr>
        <w:tc>
          <w:tcPr>
            <w:tcW w:type="dxa" w:w="3120"/>
            <w:shd w:fill="EBF3FB" w:val="clear"/>
            <w:tcMar>
              <w:top w:type="dxa" w:w="80"/>
              <w:left w:type="dxa" w:w="120"/>
              <w:bottom w:type="dxa" w:w="80"/>
              <w:right w:type="dxa" w:w="120"/>
            </w:tcMar>
          </w:tcPr>
          <w:p>
            <w:r>
              <w:rPr>
                <w:rFonts w:ascii="Aptos" w:cs="Aptos" w:eastAsia="Aptos" w:hAnsi="Aptos"/>
                <w:sz w:val="18"/>
                <w:szCs w:val="18"/>
              </w:rPr>
              <w:t>AI job submission (per organization)</w:t>
            </w:r>
          </w:p>
        </w:tc>
        <w:tc>
          <w:tcPr>
            <w:tcW w:type="dxa" w:w="2600"/>
            <w:shd w:fill="EBF3FB" w:val="clear"/>
            <w:tcMar>
              <w:top w:type="dxa" w:w="80"/>
              <w:left w:type="dxa" w:w="120"/>
              <w:bottom w:type="dxa" w:w="80"/>
              <w:right w:type="dxa" w:w="120"/>
            </w:tcMar>
          </w:tcPr>
          <w:p>
            <w:r>
              <w:rPr>
                <w:rFonts w:ascii="Aptos" w:cs="Aptos" w:eastAsia="Aptos" w:hAnsi="Aptos"/>
                <w:sz w:val="18"/>
                <w:szCs w:val="18"/>
              </w:rPr>
              <w:t>20 jobs / minute</w:t>
            </w:r>
          </w:p>
        </w:tc>
        <w:tc>
          <w:tcPr>
            <w:tcW w:type="dxa" w:w="3640"/>
            <w:shd w:fill="EBF3FB" w:val="clear"/>
            <w:tcMar>
              <w:top w:type="dxa" w:w="80"/>
              <w:left w:type="dxa" w:w="120"/>
              <w:bottom w:type="dxa" w:w="80"/>
              <w:right w:type="dxa" w:w="120"/>
            </w:tcMar>
          </w:tcPr>
          <w:p>
            <w:r>
              <w:rPr>
                <w:rFonts w:ascii="Aptos" w:cs="Aptos" w:eastAsia="Aptos" w:hAnsi="Aptos"/>
                <w:sz w:val="18"/>
                <w:szCs w:val="18"/>
              </w:rPr>
              <w:t>Organization-level cap; allows burst without queue starvation for others.</w:t>
            </w:r>
          </w:p>
        </w:tc>
      </w:tr>
      <w:tr>
        <w:tc>
          <w:tcPr>
            <w:tcW w:type="dxa" w:w="3120"/>
            <w:tcMar>
              <w:top w:type="dxa" w:w="80"/>
              <w:left w:type="dxa" w:w="120"/>
              <w:bottom w:type="dxa" w:w="80"/>
              <w:right w:type="dxa" w:w="120"/>
            </w:tcMar>
          </w:tcPr>
          <w:p>
            <w:r>
              <w:rPr>
                <w:rFonts w:ascii="Aptos" w:cs="Aptos" w:eastAsia="Aptos" w:hAnsi="Aptos"/>
                <w:sz w:val="18"/>
                <w:szCs w:val="18"/>
              </w:rPr>
              <w:t>Concurrent AI jobs (per analyst)</w:t>
            </w:r>
          </w:p>
        </w:tc>
        <w:tc>
          <w:tcPr>
            <w:tcW w:type="dxa" w:w="2600"/>
            <w:tcMar>
              <w:top w:type="dxa" w:w="80"/>
              <w:left w:type="dxa" w:w="120"/>
              <w:bottom w:type="dxa" w:w="80"/>
              <w:right w:type="dxa" w:w="120"/>
            </w:tcMar>
          </w:tcPr>
          <w:p>
            <w:r>
              <w:rPr>
                <w:rFonts w:ascii="Aptos" w:cs="Aptos" w:eastAsia="Aptos" w:hAnsi="Aptos"/>
                <w:sz w:val="18"/>
                <w:szCs w:val="18"/>
              </w:rPr>
              <w:t>3 concurrent</w:t>
            </w:r>
          </w:p>
        </w:tc>
        <w:tc>
          <w:tcPr>
            <w:tcW w:type="dxa" w:w="3640"/>
            <w:tcMar>
              <w:top w:type="dxa" w:w="80"/>
              <w:left w:type="dxa" w:w="120"/>
              <w:bottom w:type="dxa" w:w="80"/>
              <w:right w:type="dxa" w:w="120"/>
            </w:tcMar>
          </w:tcPr>
          <w:p>
            <w:r>
              <w:rPr>
                <w:rFonts w:ascii="Aptos" w:cs="Aptos" w:eastAsia="Aptos" w:hAnsi="Aptos"/>
                <w:sz w:val="18"/>
                <w:szCs w:val="18"/>
              </w:rPr>
              <w:t>Avoids in-flight job accumulation; queued work remains visible to the analyst.</w:t>
            </w:r>
          </w:p>
        </w:tc>
      </w:tr>
      <w:tr>
        <w:tc>
          <w:tcPr>
            <w:tcW w:type="dxa" w:w="3120"/>
            <w:shd w:fill="EBF3FB" w:val="clear"/>
            <w:tcMar>
              <w:top w:type="dxa" w:w="80"/>
              <w:left w:type="dxa" w:w="120"/>
              <w:bottom w:type="dxa" w:w="80"/>
              <w:right w:type="dxa" w:w="120"/>
            </w:tcMar>
          </w:tcPr>
          <w:p>
            <w:r>
              <w:rPr>
                <w:rFonts w:ascii="Aptos" w:cs="Aptos" w:eastAsia="Aptos" w:hAnsi="Aptos"/>
                <w:sz w:val="18"/>
                <w:szCs w:val="18"/>
              </w:rPr>
              <w:t>Read / metadata API (per analyst)</w:t>
            </w:r>
          </w:p>
        </w:tc>
        <w:tc>
          <w:tcPr>
            <w:tcW w:type="dxa" w:w="2600"/>
            <w:shd w:fill="EBF3FB" w:val="clear"/>
            <w:tcMar>
              <w:top w:type="dxa" w:w="80"/>
              <w:left w:type="dxa" w:w="120"/>
              <w:bottom w:type="dxa" w:w="80"/>
              <w:right w:type="dxa" w:w="120"/>
            </w:tcMar>
          </w:tcPr>
          <w:p>
            <w:r>
              <w:rPr>
                <w:rFonts w:ascii="Aptos" w:cs="Aptos" w:eastAsia="Aptos" w:hAnsi="Aptos"/>
                <w:sz w:val="18"/>
                <w:szCs w:val="18"/>
              </w:rPr>
              <w:t>120 requests / minute</w:t>
            </w:r>
          </w:p>
        </w:tc>
        <w:tc>
          <w:tcPr>
            <w:tcW w:type="dxa" w:w="3640"/>
            <w:shd w:fill="EBF3FB" w:val="clear"/>
            <w:tcMar>
              <w:top w:type="dxa" w:w="80"/>
              <w:left w:type="dxa" w:w="120"/>
              <w:bottom w:type="dxa" w:w="80"/>
              <w:right w:type="dxa" w:w="120"/>
            </w:tcMar>
          </w:tcPr>
          <w:p>
            <w:r>
              <w:rPr>
                <w:rFonts w:ascii="Aptos" w:cs="Aptos" w:eastAsia="Aptos" w:hAnsi="Aptos"/>
                <w:sz w:val="18"/>
                <w:szCs w:val="18"/>
              </w:rPr>
              <w:t>Lightweight reads; high limit supports dashboard polling without rate errors.</w:t>
            </w:r>
          </w:p>
        </w:tc>
      </w:tr>
      <w:tr>
        <w:tc>
          <w:tcPr>
            <w:tcW w:type="dxa" w:w="3120"/>
            <w:tcMar>
              <w:top w:type="dxa" w:w="80"/>
              <w:left w:type="dxa" w:w="120"/>
              <w:bottom w:type="dxa" w:w="80"/>
              <w:right w:type="dxa" w:w="120"/>
            </w:tcMar>
          </w:tcPr>
          <w:p>
            <w:r>
              <w:rPr>
                <w:rFonts w:ascii="Aptos" w:cs="Aptos" w:eastAsia="Aptos" w:hAnsi="Aptos"/>
                <w:sz w:val="18"/>
                <w:szCs w:val="18"/>
              </w:rPr>
              <w:t>Bulk export</w:t>
            </w:r>
          </w:p>
        </w:tc>
        <w:tc>
          <w:tcPr>
            <w:tcW w:type="dxa" w:w="2600"/>
            <w:tcMar>
              <w:top w:type="dxa" w:w="80"/>
              <w:left w:type="dxa" w:w="120"/>
              <w:bottom w:type="dxa" w:w="80"/>
              <w:right w:type="dxa" w:w="120"/>
            </w:tcMar>
          </w:tcPr>
          <w:p>
            <w:r>
              <w:rPr>
                <w:rFonts w:ascii="Aptos" w:cs="Aptos" w:eastAsia="Aptos" w:hAnsi="Aptos"/>
                <w:sz w:val="18"/>
                <w:szCs w:val="18"/>
              </w:rPr>
              <w:t>2 / hour (org-level)</w:t>
            </w:r>
          </w:p>
        </w:tc>
        <w:tc>
          <w:tcPr>
            <w:tcW w:type="dxa" w:w="3640"/>
            <w:tcMar>
              <w:top w:type="dxa" w:w="80"/>
              <w:left w:type="dxa" w:w="120"/>
              <w:bottom w:type="dxa" w:w="80"/>
              <w:right w:type="dxa" w:w="120"/>
            </w:tcMar>
          </w:tcPr>
          <w:p>
            <w:r>
              <w:rPr>
                <w:rFonts w:ascii="Aptos" w:cs="Aptos" w:eastAsia="Aptos" w:hAnsi="Aptos"/>
                <w:sz w:val="18"/>
                <w:szCs w:val="18"/>
              </w:rPr>
              <w:t>High I/O cost; requires re-authentication and approval.</w:t>
            </w:r>
          </w:p>
        </w:tc>
      </w:tr>
    </w:tbl>
    <w:p>
      <w:r>
        <w:rPr>
          <w:sz w:val="4"/>
          <w:szCs w:val="4"/>
        </w:rPr>
        <w:t xml:space="preserve"/>
      </w:r>
    </w:p>
    <w:p>
      <w:pPr>
        <w:pStyle w:val="Heading1"/>
        <w:spacing w:after="120" w:before="360"/>
      </w:pPr>
      <w:r>
        <w:rPr>
          <w:rFonts w:ascii="Aptos" w:cs="Aptos" w:eastAsia="Aptos" w:hAnsi="Aptos"/>
          <w:b/>
          <w:bCs/>
          <w:color w:val="1F4E79"/>
          <w:sz w:val="28"/>
          <w:szCs w:val="28"/>
        </w:rPr>
        <w:t xml:space="preserve">7. Internal Service Communication</w:t>
      </w:r>
    </w:p>
    <w:p>
      <w:pPr>
        <w:pStyle w:val="Heading2"/>
        <w:spacing w:after="80" w:before="240"/>
      </w:pPr>
      <w:r>
        <w:rPr>
          <w:rFonts w:ascii="Aptos" w:cs="Aptos" w:eastAsia="Aptos" w:hAnsi="Aptos"/>
          <w:b/>
          <w:bCs/>
          <w:sz w:val="24"/>
          <w:szCs w:val="24"/>
        </w:rPr>
        <w:t xml:space="preserve">7.1 Synchronous</w:t>
      </w:r>
    </w:p>
    <w:p>
      <w:pPr>
        <w:spacing w:after="80" w:before="80"/>
      </w:pPr>
      <w:r>
        <w:rPr>
          <w:rFonts w:ascii="Aptos" w:cs="Aptos" w:eastAsia="Aptos" w:hAnsi="Aptos"/>
          <w:sz w:val="20"/>
          <w:szCs w:val="20"/>
        </w:rPr>
        <w:t xml:space="preserve">Use REST over HTTPS for case metadata, status queries, explanations, review decisions, and authentication. gRPC may be introduced later for typed, high-performance internal calls.</w:t>
      </w:r>
    </w:p>
    <w:p>
      <w:r>
        <w:rPr>
          <w:sz w:val="4"/>
          <w:szCs w:val="4"/>
        </w:rPr>
        <w:t xml:space="preserve"/>
      </w:r>
    </w:p>
    <w:p>
      <w:pPr>
        <w:pStyle w:val="Heading2"/>
        <w:spacing w:after="80" w:before="240"/>
      </w:pPr>
      <w:r>
        <w:rPr>
          <w:rFonts w:ascii="Aptos" w:cs="Aptos" w:eastAsia="Aptos" w:hAnsi="Aptos"/>
          <w:b/>
          <w:bCs/>
          <w:sz w:val="24"/>
          <w:szCs w:val="24"/>
        </w:rPr>
        <w:t xml:space="preserve">7.2 Asynchronous</w:t>
      </w:r>
    </w:p>
    <w:p>
      <w:pPr>
        <w:spacing w:after="80" w:before="80"/>
      </w:pPr>
      <w:r>
        <w:rPr>
          <w:rFonts w:ascii="Aptos" w:cs="Aptos" w:eastAsia="Aptos" w:hAnsi="Aptos"/>
          <w:sz w:val="20"/>
          <w:szCs w:val="20"/>
        </w:rPr>
        <w:t xml:space="preserve">Submit AI analysis as a background job. The API returns 202 Accepted and a job ID. Workers process cases through a durable queue, enabling controlled concurrency, retry, prioritization, and independent scaling.</w:t>
      </w:r>
    </w:p>
    <w:p>
      <w:r>
        <w:rPr>
          <w:sz w:val="4"/>
          <w:szCs w:val="4"/>
        </w:rPr>
        <w:t xml:space="preserve"/>
      </w:r>
    </w:p>
    <w:p>
      <w:pPr>
        <w:pStyle w:val="Heading2"/>
        <w:spacing w:after="80" w:before="240"/>
      </w:pPr>
      <w:r>
        <w:rPr>
          <w:rFonts w:ascii="Aptos" w:cs="Aptos" w:eastAsia="Aptos" w:hAnsi="Aptos"/>
          <w:b/>
          <w:bCs/>
          <w:sz w:val="24"/>
          <w:szCs w:val="24"/>
        </w:rPr>
        <w:t xml:space="preserve">7.3 Reliability Controls</w:t>
      </w:r>
    </w:p>
    <w:p>
      <w:pPr>
        <w:spacing w:after="80" w:before="80"/>
      </w:pPr>
      <w:r>
        <w:rPr>
          <w:rFonts w:ascii="Aptos" w:cs="Aptos" w:eastAsia="Aptos" w:hAnsi="Aptos"/>
          <w:sz w:val="20"/>
          <w:szCs w:val="20"/>
        </w:rPr>
        <w:t xml:space="preserve">Idempotency keys, bounded retries with exponential backoff and jitter, timeouts, circuit breakers, dead-letter queues, service-to-service authentication, and least-privilege access.</w:t>
      </w:r>
    </w:p>
    <w:p>
      <w:r>
        <w:rPr>
          <w:sz w:val="4"/>
          <w:szCs w:val="4"/>
        </w:rPr>
        <w:t xml:space="preserve"/>
      </w:r>
    </w:p>
    <w:p>
      <w:pPr>
        <w:pStyle w:val="Heading1"/>
        <w:spacing w:after="120" w:before="360"/>
      </w:pPr>
      <w:r>
        <w:rPr>
          <w:rFonts w:ascii="Aptos" w:cs="Aptos" w:eastAsia="Aptos" w:hAnsi="Aptos"/>
          <w:b/>
          <w:bCs/>
          <w:color w:val="1F4E79"/>
          <w:sz w:val="28"/>
          <w:szCs w:val="28"/>
        </w:rPr>
        <w:t xml:space="preserve">8. Dead-Letter Queue Handling</w:t>
      </w:r>
    </w:p>
    <w:p>
      <w:pPr>
        <w:spacing w:after="80" w:before="80"/>
      </w:pPr>
      <w:r>
        <w:rPr>
          <w:rFonts w:ascii="Aptos" w:cs="Aptos" w:eastAsia="Aptos" w:hAnsi="Aptos"/>
          <w:sz w:val="20"/>
          <w:szCs w:val="20"/>
        </w:rPr>
        <w:t xml:space="preserve">A dead-letter queue (DLQ) is not only a storage location for failed jobs. It requires a defined response procedure. Failed jobs must be classified by error type before deciding whether to retry.</w:t>
      </w:r>
    </w:p>
    <w:p>
      <w:r>
        <w:rPr>
          <w:sz w:val="4"/>
          <w:szCs w:val="4"/>
        </w:rPr>
        <w:t xml:space="preserve"/>
      </w:r>
    </w:p>
    <w:p>
      <w:pPr>
        <w:pStyle w:val="Heading2"/>
        <w:spacing w:after="80" w:before="240"/>
      </w:pPr>
      <w:r>
        <w:rPr>
          <w:rFonts w:ascii="Aptos" w:cs="Aptos" w:eastAsia="Aptos" w:hAnsi="Aptos"/>
          <w:b/>
          <w:bCs/>
          <w:sz w:val="24"/>
          <w:szCs w:val="24"/>
        </w:rPr>
        <w:t xml:space="preserve">8.1 Failure Classification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960"/>
      </w:tblGrid>
      <w:tr>
        <w:tc>
          <w:tcPr>
            <w:tcW w:type="dxa" w:w="1800"/>
            <w:tcBorders>
              <w:top w:val="single" w:color="CCCCCC" w:sz="1"/>
              <w:left w:val="single" w:color="CCCCCC" w:sz="1"/>
              <w:bottom w:val="single" w:color="CCCCCC" w:sz="1"/>
              <w:right w:val="single" w:color="CCCCCC" w:sz="1"/>
            </w:tcBorders>
            <w:shd w:fill="D9EAF0" w:val="clear"/>
            <w:tcMar>
              <w:top w:type="dxa" w:w="80"/>
              <w:left w:type="dxa" w:w="140"/>
              <w:bottom w:type="dxa" w:w="80"/>
              <w:right w:type="dxa" w:w="140"/>
            </w:tcMar>
            <w:vAlign w:val="center"/>
          </w:tcPr>
          <w:p>
            <w:r>
              <w:rPr>
                <w:rFonts w:ascii="Aptos" w:cs="Aptos" w:eastAsia="Aptos" w:hAnsi="Aptos"/>
                <w:b/>
                <w:bCs/>
                <w:sz w:val="18"/>
                <w:szCs w:val="18"/>
              </w:rPr>
              <w:t xml:space="preserve">Error Category</w:t>
            </w:r>
          </w:p>
        </w:tc>
        <w:tc>
          <w:tcPr>
            <w:tcW w:type="dxa" w:w="3400"/>
            <w:tcBorders>
              <w:top w:val="single" w:color="CCCCCC" w:sz="1"/>
              <w:left w:val="single" w:color="CCCCCC" w:sz="1"/>
              <w:bottom w:val="single" w:color="CCCCCC" w:sz="1"/>
              <w:right w:val="single" w:color="CCCCCC" w:sz="1"/>
            </w:tcBorders>
            <w:shd w:fill="D9EAF0" w:val="clear"/>
            <w:tcMar>
              <w:top w:type="dxa" w:w="80"/>
              <w:left w:type="dxa" w:w="140"/>
              <w:bottom w:type="dxa" w:w="80"/>
              <w:right w:type="dxa" w:w="140"/>
            </w:tcMar>
            <w:vAlign w:val="center"/>
          </w:tcPr>
          <w:p>
            <w:r>
              <w:rPr>
                <w:rFonts w:ascii="Aptos" w:cs="Aptos" w:eastAsia="Aptos" w:hAnsi="Aptos"/>
                <w:b/>
                <w:bCs/>
                <w:sz w:val="18"/>
                <w:szCs w:val="18"/>
              </w:rPr>
              <w:t xml:space="preserve">Examples</w:t>
            </w:r>
          </w:p>
        </w:tc>
        <w:tc>
          <w:tcPr>
            <w:tcW w:type="dxa" w:w="3960"/>
            <w:tcBorders>
              <w:top w:val="single" w:color="CCCCCC" w:sz="1"/>
              <w:left w:val="single" w:color="CCCCCC" w:sz="1"/>
              <w:bottom w:val="single" w:color="CCCCCC" w:sz="1"/>
              <w:right w:val="single" w:color="CCCCCC" w:sz="1"/>
            </w:tcBorders>
            <w:shd w:fill="D9EAF0" w:val="clear"/>
            <w:tcMar>
              <w:top w:type="dxa" w:w="80"/>
              <w:left w:type="dxa" w:w="140"/>
              <w:bottom w:type="dxa" w:w="80"/>
              <w:right w:type="dxa" w:w="140"/>
            </w:tcMar>
            <w:vAlign w:val="center"/>
          </w:tcPr>
          <w:p>
            <w:r>
              <w:rPr>
                <w:rFonts w:ascii="Aptos" w:cs="Aptos" w:eastAsia="Aptos" w:hAnsi="Aptos"/>
                <w:b/>
                <w:bCs/>
                <w:sz w:val="18"/>
                <w:szCs w:val="18"/>
              </w:rPr>
              <w:t xml:space="preserve">Action</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Transient</w:t>
            </w:r>
          </w:p>
        </w:tc>
        <w:tc>
          <w:tcPr>
            <w:tcW w:type="dxa" w:w="3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Network timeout, temporary service unavailability.</w:t>
            </w:r>
          </w:p>
        </w:tc>
        <w:tc>
          <w:tcPr>
            <w:tcW w:type="dxa" w:w="3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Bounded retry with exponential backoff.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Permanent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Invalid input schema, unsupported format, missing required fields.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Move to DLQ immediately; do not retry.</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Resource</w:t>
            </w:r>
          </w:p>
        </w:tc>
        <w:tc>
          <w:tcPr>
            <w:tcW w:type="dxa" w:w="3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GPU memory exhaustion, model loading failure.</w:t>
            </w:r>
          </w:p>
        </w:tc>
        <w:tc>
          <w:tcPr>
            <w:tcW w:type="dxa" w:w="3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Retry after delay; alert if persistent.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Unknown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Unexpected exception without clear classification.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Move to DLQ; require human investigation.</w:t>
            </w:r>
          </w:p>
        </w:tc>
      </w:tr>
    </w:tbl>
    <w:p>
      <w:r>
        <w:rPr>
          <w:sz w:val="4"/>
          <w:szCs w:val="4"/>
        </w:rPr>
        <w:t xml:space="preserve"/>
      </w:r>
    </w:p>
    <w:p>
      <w:pPr>
        <w:pStyle w:val="Heading2"/>
        <w:spacing w:after="80" w:before="240"/>
      </w:pPr>
      <w:r>
        <w:rPr>
          <w:rFonts w:ascii="Aptos" w:cs="Aptos" w:eastAsia="Aptos" w:hAnsi="Aptos"/>
          <w:b/>
          <w:bCs/>
          <w:sz w:val="24"/>
          <w:szCs w:val="24"/>
        </w:rPr>
        <w:t xml:space="preserve">8.2 DLQ Processing Flow</w:t>
      </w:r>
    </w:p>
    <w:p>
      <w:pPr>
        <w:pBdr>
          <w:left w:val="single" w:color="AAAAAA" w:sz="6" w:space="8"/>
        </w:pBdr>
        <w:shd w:fill="F5F5F5" w:val="clear"/>
        <w:spacing w:after="120" w:before="120"/>
        <w:ind w:left="360"/>
        <w:keepLines/>
      </w:pPr>
      <w:r>
        <w:rPr>
          <w:rFonts w:ascii="Courier New" w:cs="Courier New" w:eastAsia="Courier New" w:hAnsi="Courier New"/>
          <w:sz w:val="17"/>
          <w:szCs w:val="17"/>
        </w:rPr>
        <w:t xml:space="preserve">Analysis Job</w:t>
        <w:br/>
        <w:t xml:space="preserve">     ↓</w:t>
        <w:br/>
        <w:t xml:space="preserve">Attempt 1 → failure</w:t>
        <w:br/>
        <w:t xml:space="preserve">     ↓</w:t>
        <w:br/>
        <w:t xml:space="preserve">Retry with exponential backoff + jitter</w:t>
        <w:br/>
        <w:t xml:space="preserve">     ↓</w:t>
        <w:br/>
        <w:t xml:space="preserve">Attempt 2 → failure</w:t>
        <w:br/>
        <w:t xml:space="preserve">     ↓</w:t>
        <w:br/>
        <w:t xml:space="preserve">Attempt 3 → failure</w:t>
        <w:br/>
        <w:t xml:space="preserve">     ↓</w:t>
        <w:br/>
        <w:t xml:space="preserve">Dead-Letter Queue</w:t>
        <w:br/>
        <w:t xml:space="preserve">     ↓</w:t>
        <w:br/>
        <w:t xml:space="preserve">Operational alert triggered</w:t>
        <w:br/>
        <w:t xml:space="preserve">     ↓</w:t>
        <w:br/>
        <w:t xml:space="preserve">Case status = Processing Failed</w:t>
        <w:br/>
        <w:t xml:space="preserve">     ↓</w:t>
        <w:br/>
        <w:t xml:space="preserve">Human operator investigates</w:t>
        <w:br/>
        <w:t xml:space="preserve">     ├─ Correct transient/configuration problem → Redrive to main queue</w:t>
        <w:br/>
        <w:t xml:space="preserve">     ├─ Mark input as invalid → Notify submitting analyst</w:t>
        <w:br/>
        <w:t xml:space="preserve">     └─ Escalate persistent service failure</w:t>
      </w:r>
    </w:p>
    <w:p>
      <w:r>
        <w:rPr>
          <w:sz w:val="4"/>
          <w:szCs w:val="4"/>
        </w:rPr>
        <w:t xml:space="preserve"/>
      </w:r>
    </w:p>
    <w:p>
      <w:pPr>
        <w:pStyle w:val="Heading2"/>
        <w:spacing w:after="80" w:before="240"/>
      </w:pPr>
      <w:r>
        <w:rPr>
          <w:rFonts w:ascii="Aptos" w:cs="Aptos" w:eastAsia="Aptos" w:hAnsi="Aptos"/>
          <w:b/>
          <w:bCs/>
          <w:sz w:val="24"/>
          <w:szCs w:val="24"/>
        </w:rPr>
        <w:t xml:space="preserve">8.3 DLQ Item Schema</w:t>
      </w:r>
    </w:p>
    <w:p>
      <w:pPr>
        <w:spacing w:after="80" w:before="80"/>
      </w:pPr>
      <w:r>
        <w:rPr>
          <w:rFonts w:ascii="Aptos" w:cs="Aptos" w:eastAsia="Aptos" w:hAnsi="Aptos"/>
          <w:sz w:val="20"/>
          <w:szCs w:val="20"/>
        </w:rPr>
        <w:t xml:space="preserve">DLQ items must include job and case identifiers, failure stage, error category, attempt count, model version, and last failure timestamp. They must never include unredacted conversation content.</w:t>
      </w:r>
    </w:p>
    <w:p>
      <w:r>
        <w:rPr>
          <w:sz w:val="4"/>
          <w:szCs w:val="4"/>
        </w:rPr>
        <w:t xml:space="preserve"/>
      </w:r>
    </w:p>
    <w:p>
      <w:pPr>
        <w:pStyle w:val="Heading2"/>
        <w:spacing w:after="80" w:before="240"/>
      </w:pPr>
      <w:r>
        <w:rPr>
          <w:rFonts w:ascii="Aptos" w:cs="Aptos" w:eastAsia="Aptos" w:hAnsi="Aptos"/>
          <w:b/>
          <w:bCs/>
          <w:sz w:val="24"/>
          <w:szCs w:val="24"/>
        </w:rPr>
        <w:t xml:space="preserve">8.4 DLQ Operational Requirements</w:t>
      </w:r>
    </w:p>
    <w:p>
      <w:pPr>
        <w:pStyle w:val="ListParagraph"/>
        <w:numPr>
          <w:ilvl w:val="0"/>
          <w:numId w:val="2"/>
        </w:numPr>
        <w:spacing w:after="40" w:before="40"/>
      </w:pPr>
      <w:r>
        <w:rPr>
          <w:rFonts w:ascii="Aptos" w:cs="Aptos" w:eastAsia="Aptos" w:hAnsi="Aptos"/>
          <w:sz w:val="20"/>
          <w:szCs w:val="20"/>
        </w:rPr>
        <w:t xml:space="preserve">Alert when DLQ depth exceeds a configurable threshold.</w:t>
      </w:r>
    </w:p>
    <w:p>
      <w:pPr>
        <w:pStyle w:val="ListParagraph"/>
        <w:numPr>
          <w:ilvl w:val="0"/>
          <w:numId w:val="2"/>
        </w:numPr>
        <w:spacing w:after="40" w:before="40"/>
      </w:pPr>
      <w:r>
        <w:rPr>
          <w:rFonts w:ascii="Aptos" w:cs="Aptos" w:eastAsia="Aptos" w:hAnsi="Aptos"/>
          <w:sz w:val="20"/>
          <w:szCs w:val="20"/>
        </w:rPr>
        <w:t xml:space="preserve">Define maximum wait time before escalation.</w:t>
      </w:r>
    </w:p>
    <w:p>
      <w:pPr>
        <w:pStyle w:val="ListParagraph"/>
        <w:numPr>
          <w:ilvl w:val="0"/>
          <w:numId w:val="2"/>
        </w:numPr>
        <w:spacing w:after="40" w:before="40"/>
      </w:pPr>
      <w:r>
        <w:rPr>
          <w:rFonts w:ascii="Aptos" w:cs="Aptos" w:eastAsia="Aptos" w:hAnsi="Aptos"/>
          <w:sz w:val="20"/>
          <w:szCs w:val="20"/>
        </w:rPr>
        <w:t xml:space="preserve">Assign clear ownership for DLQ investigation.</w:t>
      </w:r>
    </w:p>
    <w:p>
      <w:pPr>
        <w:pStyle w:val="ListParagraph"/>
        <w:numPr>
          <w:ilvl w:val="0"/>
          <w:numId w:val="2"/>
        </w:numPr>
        <w:spacing w:after="40" w:before="40"/>
      </w:pPr>
      <w:r>
        <w:rPr>
          <w:rFonts w:ascii="Aptos" w:cs="Aptos" w:eastAsia="Aptos" w:hAnsi="Aptos"/>
          <w:sz w:val="20"/>
          <w:szCs w:val="20"/>
        </w:rPr>
        <w:t xml:space="preserve">Distinguish errors that permit automatic redrive from those requiring manual review.</w:t>
      </w:r>
    </w:p>
    <w:p>
      <w:pPr>
        <w:pStyle w:val="ListParagraph"/>
        <w:numPr>
          <w:ilvl w:val="0"/>
          <w:numId w:val="2"/>
        </w:numPr>
        <w:spacing w:after="40" w:before="40"/>
      </w:pPr>
      <w:r>
        <w:rPr>
          <w:rFonts w:ascii="Aptos" w:cs="Aptos" w:eastAsia="Aptos" w:hAnsi="Aptos"/>
          <w:sz w:val="20"/>
          <w:szCs w:val="20"/>
        </w:rPr>
        <w:t xml:space="preserve">After resolution, delete DLQ payloads; retain only error metadata.</w:t>
      </w:r>
    </w:p>
    <w:p>
      <w:r>
        <w:rPr>
          <w:sz w:val="4"/>
          <w:szCs w:val="4"/>
        </w:rPr>
        <w:t xml:space="preserve"/>
      </w:r>
    </w:p>
    <w:p>
      <w:pPr>
        <w:pStyle w:val="Heading1"/>
        <w:spacing w:after="120" w:before="360"/>
      </w:pPr>
      <w:r>
        <w:rPr>
          <w:rFonts w:ascii="Aptos" w:cs="Aptos" w:eastAsia="Aptos" w:hAnsi="Aptos"/>
          <w:b/>
          <w:bCs/>
          <w:color w:val="1F4E79"/>
          <w:sz w:val="28"/>
          <w:szCs w:val="28"/>
        </w:rPr>
        <w:t xml:space="preserve">9. Explainability Service</w:t>
      </w:r>
    </w:p>
    <w:p>
      <w:pPr>
        <w:spacing w:after="80" w:before="80"/>
      </w:pPr>
      <w:r>
        <w:rPr>
          <w:rFonts w:ascii="Aptos" w:cs="Aptos" w:eastAsia="Aptos" w:hAnsi="Aptos"/>
          <w:sz w:val="20"/>
          <w:szCs w:val="20"/>
        </w:rPr>
        <w:t xml:space="preserve">The Explainability Service converts structured model and rule outputs into analyst-facing evidence. It does not generate free-form summaries; it assembles predefined output types from structured inputs.</w:t>
      </w:r>
    </w:p>
    <w:p>
      <w:r>
        <w:rPr>
          <w:sz w:val="4"/>
          <w:szCs w:val="4"/>
        </w:rPr>
        <w:t xml:space="preserve"/>
      </w:r>
    </w:p>
    <w:p>
      <w:pPr>
        <w:pStyle w:val="Heading2"/>
        <w:spacing w:after="80" w:before="240"/>
      </w:pPr>
      <w:r>
        <w:rPr>
          <w:rFonts w:ascii="Aptos" w:cs="Aptos" w:eastAsia="Aptos" w:hAnsi="Aptos"/>
          <w:b/>
          <w:bCs/>
          <w:sz w:val="24"/>
          <w:szCs w:val="24"/>
        </w:rPr>
        <w:t xml:space="preserve">9.1 Output Structure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360"/>
      </w:tblGrid>
      <w:tr>
        <w:tc>
          <w:tcPr>
            <w:tcW w:type="dxa" w:w="1700"/>
            <w:tcBorders>
              <w:top w:val="single" w:color="CCCCCC" w:sz="1"/>
              <w:left w:val="single" w:color="CCCCCC" w:sz="1"/>
              <w:bottom w:val="single" w:color="CCCCCC" w:sz="1"/>
              <w:right w:val="single" w:color="CCCCCC" w:sz="1"/>
            </w:tcBorders>
            <w:shd w:fill="D9EAF0" w:val="clear"/>
            <w:tcMar>
              <w:top w:type="dxa" w:w="80"/>
              <w:left w:type="dxa" w:w="140"/>
              <w:bottom w:type="dxa" w:w="80"/>
              <w:right w:type="dxa" w:w="140"/>
            </w:tcMar>
            <w:vAlign w:val="center"/>
          </w:tcPr>
          <w:p>
            <w:r>
              <w:rPr>
                <w:rFonts w:ascii="Aptos" w:cs="Aptos" w:eastAsia="Aptos" w:hAnsi="Aptos"/>
                <w:b/>
                <w:bCs/>
                <w:sz w:val="18"/>
                <w:szCs w:val="18"/>
              </w:rPr>
              <w:t xml:space="preserve">Output Type</w:t>
            </w:r>
          </w:p>
        </w:tc>
        <w:tc>
          <w:tcPr>
            <w:tcW w:type="dxa" w:w="4100"/>
            <w:tcBorders>
              <w:top w:val="single" w:color="CCCCCC" w:sz="1"/>
              <w:left w:val="single" w:color="CCCCCC" w:sz="1"/>
              <w:bottom w:val="single" w:color="CCCCCC" w:sz="1"/>
              <w:right w:val="single" w:color="CCCCCC" w:sz="1"/>
            </w:tcBorders>
            <w:shd w:fill="D9EAF0" w:val="clear"/>
            <w:tcMar>
              <w:top w:type="dxa" w:w="80"/>
              <w:left w:type="dxa" w:w="140"/>
              <w:bottom w:type="dxa" w:w="80"/>
              <w:right w:type="dxa" w:w="140"/>
            </w:tcMar>
            <w:vAlign w:val="center"/>
          </w:tcPr>
          <w:p>
            <w:r>
              <w:rPr>
                <w:rFonts w:ascii="Aptos" w:cs="Aptos" w:eastAsia="Aptos" w:hAnsi="Aptos"/>
                <w:b/>
                <w:bCs/>
                <w:sz w:val="18"/>
                <w:szCs w:val="18"/>
              </w:rPr>
              <w:t xml:space="preserve">Content</w:t>
            </w:r>
          </w:p>
        </w:tc>
        <w:tc>
          <w:tcPr>
            <w:tcW w:type="dxa" w:w="3360"/>
            <w:tcBorders>
              <w:top w:val="single" w:color="CCCCCC" w:sz="1"/>
              <w:left w:val="single" w:color="CCCCCC" w:sz="1"/>
              <w:bottom w:val="single" w:color="CCCCCC" w:sz="1"/>
              <w:right w:val="single" w:color="CCCCCC" w:sz="1"/>
            </w:tcBorders>
            <w:shd w:fill="D9EAF0" w:val="clear"/>
            <w:tcMar>
              <w:top w:type="dxa" w:w="80"/>
              <w:left w:type="dxa" w:w="140"/>
              <w:bottom w:type="dxa" w:w="80"/>
              <w:right w:type="dxa" w:w="140"/>
            </w:tcMar>
            <w:vAlign w:val="center"/>
          </w:tcPr>
          <w:p>
            <w:r>
              <w:rPr>
                <w:rFonts w:ascii="Aptos" w:cs="Aptos" w:eastAsia="Aptos" w:hAnsi="Aptos"/>
                <w:b/>
                <w:bCs/>
                <w:sz w:val="18"/>
                <w:szCs w:val="18"/>
              </w:rPr>
              <w:t xml:space="preserve">Source</w:t>
            </w:r>
          </w:p>
        </w:tc>
      </w:tr>
      <w:tr>
        <w:tc>
          <w:tcPr>
            <w:tcW w:type="dxa" w:w="17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Triggered signals</w:t>
            </w:r>
          </w:p>
        </w:tc>
        <w:tc>
          <w:tcPr>
            <w:tcW w:type="dxa" w:w="41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Signal name, score, source (LLM or rule), message references.</w:t>
            </w:r>
          </w:p>
        </w:tc>
        <w:tc>
          <w:tcPr>
            <w:tcW w:type="dxa" w:w="3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LLM extractor, rule engine.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Rule evidence</w:t>
            </w:r>
          </w:p>
        </w:tc>
        <w:tc>
          <w:tcPr>
            <w:tcW w:type="dxa" w:w="4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Rule ID, severity, matched message ID, redacted evidence span.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Rule engine.</w:t>
            </w:r>
          </w:p>
        </w:tc>
      </w:tr>
      <w:tr>
        <w:tc>
          <w:tcPr>
            <w:tcW w:type="dxa" w:w="17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Model evidence</w:t>
            </w:r>
          </w:p>
        </w:tc>
        <w:tc>
          <w:tcPr>
            <w:tcW w:type="dxa" w:w="41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t>High-risk message IDs, per-component classifier scores (cyberbullying, grooming, rule safety, emotion), the five mapped-emotion dimensions (fear/sadness/anger/distress/dependency), attention focus.</w:t>
            </w:r>
          </w:p>
        </w:tc>
        <w:tc>
          <w:tcPr>
            <w:tcW w:type="dxa" w:w="3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Cyberbullying and Grooming Head outputs.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Confidence and uncertainty</w:t>
            </w:r>
          </w:p>
        </w:tc>
        <w:tc>
          <w:tcPr>
            <w:tcW w:type="dxa" w:w="4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t>Risk level and confidence reported separately; MC Dropout variance; an additional signal-based 'operable risk level/score' (max of cyberbullying/grooming/rule-safety scores and the LLM-extracted safety signals) shown alongside risk level for comparison, display-only -- does not feed human_review_required.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Model inference.</w:t>
            </w:r>
          </w:p>
        </w:tc>
      </w:tr>
      <w:tr>
        <w:tc>
          <w:tcPr>
            <w:tcW w:type="dxa" w:w="17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Data limitations</w:t>
            </w:r>
          </w:p>
        </w:tc>
        <w:tc>
          <w:tcPr>
            <w:tcW w:type="dxa" w:w="41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Structured flags: incomplete conversation, missing timestamps, language mismatch, model–rule disagreement.</w:t>
            </w:r>
          </w:p>
        </w:tc>
        <w:tc>
          <w:tcPr>
            <w:tcW w:type="dxa" w:w="3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Preprocessing and inference stages.</w:t>
            </w:r>
          </w:p>
        </w:tc>
      </w:tr>
    </w:tbl>
    <w:p>
      <w:r>
        <w:rPr>
          <w:sz w:val="4"/>
          <w:szCs w:val="4"/>
        </w:rPr>
        <w:t xml:space="preserve"/>
      </w:r>
    </w:p>
    <w:p>
      <w:pPr>
        <w:pStyle w:val="Heading2"/>
        <w:spacing w:after="80" w:before="240"/>
      </w:pPr>
      <w:r>
        <w:rPr>
          <w:rFonts w:ascii="Aptos" w:cs="Aptos" w:eastAsia="Aptos" w:hAnsi="Aptos"/>
          <w:b/>
          <w:bCs/>
          <w:sz w:val="24"/>
          <w:szCs w:val="24"/>
        </w:rPr>
        <w:t xml:space="preserve">9.2 Attention Weight Disclaimer</w:t>
      </w:r>
    </w:p>
    <w:p>
      <w:pPr>
        <w:spacing w:after="80" w:before="80"/>
      </w:pPr>
      <w:r>
        <w:rPr>
          <w:rFonts w:ascii="Aptos" w:cs="Aptos" w:eastAsia="Aptos" w:hAnsi="Aptos"/>
          <w:b/>
          <w:bCs/>
          <w:sz w:val="20"/>
          <w:szCs w:val="20"/>
        </w:rPr>
        <w:t xml:space="preserve">Important: </w:t>
      </w:r>
      <w:r>
        <w:rPr>
          <w:rFonts w:ascii="Aptos" w:cs="Aptos" w:eastAsia="Aptos" w:hAnsi="Aptos"/>
          <w:sz w:val="20"/>
          <w:szCs w:val="20"/>
        </w:rPr>
        <w:t xml:space="preserve">Attention weights indicate which messages the model focused on. They are not causal explanations and must not be presented as legal or clinical evidence. The dashboard must display this qualification wherever attention values appear.</w:t>
      </w:r>
    </w:p>
    <w:p>
      <w:r>
        <w:rPr>
          <w:sz w:val="4"/>
          <w:szCs w:val="4"/>
        </w:rPr>
        <w:t xml:space="preserve"/>
      </w:r>
    </w:p>
    <w:p>
      <w:pPr>
        <w:pStyle w:val="Heading2"/>
        <w:spacing w:after="80" w:before="240"/>
      </w:pPr>
      <w:r>
        <w:rPr>
          <w:rFonts w:ascii="Aptos" w:cs="Aptos" w:eastAsia="Aptos" w:hAnsi="Aptos"/>
          <w:b/>
          <w:bCs/>
          <w:sz w:val="24"/>
          <w:szCs w:val="24"/>
        </w:rPr>
        <w:t xml:space="preserve">9.3 Required Dashboard Disclaimer</w:t>
      </w:r>
    </w:p>
    <w:p>
      <w:pPr>
        <w:spacing w:after="80" w:before="80"/>
      </w:pPr>
      <w:r>
        <w:rPr>
          <w:rFonts w:ascii="Aptos" w:cs="Aptos" w:eastAsia="Aptos" w:hAnsi="Aptos"/>
          <w:sz w:val="20"/>
          <w:szCs w:val="20"/>
        </w:rPr>
        <w:t xml:space="preserve">Every analyst-facing output must include a non-removable statement:</w:t>
      </w:r>
    </w:p>
    <w:p>
      <w:pPr>
        <w:pBdr>
          <w:left w:val="single" w:color="AAAAAA" w:sz="6" w:space="8"/>
        </w:pBdr>
        <w:shd w:fill="F5F5F5" w:val="clear"/>
        <w:spacing w:after="120" w:before="120"/>
        <w:ind w:left="360"/>
        <w:keepLines/>
      </w:pPr>
      <w:r>
        <w:rPr>
          <w:rFonts w:ascii="Courier New" w:cs="Courier New" w:eastAsia="Courier New" w:hAnsi="Courier New"/>
          <w:sz w:val="17"/>
          <w:szCs w:val="17"/>
        </w:rPr>
        <w:t xml:space="preserve">This output does not identify individuals as offenders or victims,</w:t>
        <w:br/>
        <w:t xml:space="preserve">make clinical or legal conclusions, automatically report cases,</w:t>
        <w:br/>
        <w:t xml:space="preserve">or trigger enforcement actions. A qualified human must review</w:t>
        <w:br/>
        <w:t xml:space="preserve">all cases before any organizational action is taken.</w:t>
      </w:r>
    </w:p>
    <w:p>
      <w:r>
        <w:rPr>
          <w:sz w:val="4"/>
          <w:szCs w:val="4"/>
        </w:rPr>
        <w:t xml:space="preserve"/>
      </w:r>
    </w:p>
    <w:p>
      <w:pPr>
        <w:pStyle w:val="Heading1"/>
        <w:spacing w:after="120" w:before="360"/>
      </w:pPr>
      <w:r>
        <w:rPr>
          <w:rFonts w:ascii="Aptos" w:cs="Aptos" w:eastAsia="Aptos" w:hAnsi="Aptos"/>
          <w:b/>
          <w:bCs/>
          <w:color w:val="1F4E79"/>
          <w:sz w:val="28"/>
          <w:szCs w:val="28"/>
        </w:rPr>
        <w:t xml:space="preserve">10. Data Retention and Deletion Policy</w:t>
      </w:r>
    </w:p>
    <w:p>
      <w:pPr>
        <w:spacing w:after="80" w:before="80"/>
      </w:pPr>
      <w:r>
        <w:rPr>
          <w:rFonts w:ascii="Aptos" w:cs="Aptos" w:eastAsia="Aptos" w:hAnsi="Aptos"/>
          <w:sz w:val="20"/>
          <w:szCs w:val="20"/>
        </w:rPr>
        <w:t xml:space="preserve">Retention periods must be configurable by organization and jurisdiction. The system follows data-minimization principles and separates operational case data from long-lived audit metadata. The durations in the table below are illustrative defaults only; final retention periods require legal and organizational approval and must reflect applicable jurisdictional requirements.</w:t>
      </w:r>
    </w:p>
    <w:p>
      <w:r>
        <w:rPr>
          <w:sz w:val="4"/>
          <w:szCs w:val="4"/>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660"/>
      </w:tblGrid>
      <w:tr>
        <w:tc>
          <w:tcPr>
            <w:tcW w:type="dxa" w:w="2100"/>
            <w:tcBorders>
              <w:top w:val="single" w:color="CCCCCC" w:sz="1"/>
              <w:left w:val="single" w:color="CCCCCC" w:sz="1"/>
              <w:bottom w:val="single" w:color="CCCCCC" w:sz="1"/>
              <w:right w:val="single" w:color="CCCCCC" w:sz="1"/>
            </w:tcBorders>
            <w:shd w:fill="D9EAF0" w:val="clear"/>
            <w:tcMar>
              <w:top w:type="dxa" w:w="80"/>
              <w:left w:type="dxa" w:w="140"/>
              <w:bottom w:type="dxa" w:w="80"/>
              <w:right w:type="dxa" w:w="140"/>
            </w:tcMar>
            <w:vAlign w:val="center"/>
          </w:tcPr>
          <w:p>
            <w:r>
              <w:rPr>
                <w:rFonts w:ascii="Aptos" w:cs="Aptos" w:eastAsia="Aptos" w:hAnsi="Aptos"/>
                <w:b/>
                <w:bCs/>
                <w:sz w:val="18"/>
                <w:szCs w:val="18"/>
              </w:rPr>
              <w:t xml:space="preserve">Data Type</w:t>
            </w:r>
          </w:p>
        </w:tc>
        <w:tc>
          <w:tcPr>
            <w:tcW w:type="dxa" w:w="3400"/>
            <w:tcBorders>
              <w:top w:val="single" w:color="CCCCCC" w:sz="1"/>
              <w:left w:val="single" w:color="CCCCCC" w:sz="1"/>
              <w:bottom w:val="single" w:color="CCCCCC" w:sz="1"/>
              <w:right w:val="single" w:color="CCCCCC" w:sz="1"/>
            </w:tcBorders>
            <w:shd w:fill="D9EAF0" w:val="clear"/>
            <w:tcMar>
              <w:top w:type="dxa" w:w="80"/>
              <w:left w:type="dxa" w:w="140"/>
              <w:bottom w:type="dxa" w:w="80"/>
              <w:right w:type="dxa" w:w="140"/>
            </w:tcMar>
            <w:vAlign w:val="center"/>
          </w:tcPr>
          <w:p>
            <w:r>
              <w:rPr>
                <w:rFonts w:ascii="Aptos" w:cs="Aptos" w:eastAsia="Aptos" w:hAnsi="Aptos"/>
                <w:b/>
                <w:bCs/>
                <w:sz w:val="18"/>
                <w:szCs w:val="18"/>
              </w:rPr>
              <w:t xml:space="preserve">Recommended Retention (Illustrative Default)</w:t>
            </w:r>
          </w:p>
        </w:tc>
        <w:tc>
          <w:tcPr>
            <w:tcW w:type="dxa" w:w="3660"/>
            <w:tcBorders>
              <w:top w:val="single" w:color="CCCCCC" w:sz="1"/>
              <w:left w:val="single" w:color="CCCCCC" w:sz="1"/>
              <w:bottom w:val="single" w:color="CCCCCC" w:sz="1"/>
              <w:right w:val="single" w:color="CCCCCC" w:sz="1"/>
            </w:tcBorders>
            <w:shd w:fill="D9EAF0" w:val="clear"/>
            <w:tcMar>
              <w:top w:type="dxa" w:w="80"/>
              <w:left w:type="dxa" w:w="140"/>
              <w:bottom w:type="dxa" w:w="80"/>
              <w:right w:type="dxa" w:w="140"/>
            </w:tcMar>
            <w:vAlign w:val="center"/>
          </w:tcPr>
          <w:p>
            <w:r>
              <w:rPr>
                <w:rFonts w:ascii="Aptos" w:cs="Aptos" w:eastAsia="Aptos" w:hAnsi="Aptos"/>
                <w:b/>
                <w:bCs/>
                <w:sz w:val="18"/>
                <w:szCs w:val="18"/>
              </w:rPr>
              <w:t xml:space="preserve">Notes</w:t>
            </w:r>
          </w:p>
        </w:tc>
      </w:tr>
      <w:tr>
        <w:tc>
          <w:tcPr>
            <w:tcW w:type="dxa" w:w="21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Unredacted temporary data</w:t>
            </w:r>
          </w:p>
        </w:tc>
        <w:tc>
          <w:tcPr>
            <w:tcW w:type="dxa" w:w="3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Deleted immediately after PII redaction completes.</w:t>
            </w:r>
          </w:p>
        </w:tc>
        <w:tc>
          <w:tcPr>
            <w:tcW w:type="dxa" w:w="36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Never persisted to the primary database.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Redacted conversation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Retained for the active review period (configurable; suggest 30–90 days by default).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Deleted once the case is closed and any mandatory hold period expires.</w:t>
            </w:r>
          </w:p>
        </w:tc>
      </w:tr>
      <w:tr>
        <w:tc>
          <w:tcPr>
            <w:tcW w:type="dxa" w:w="21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Model results and scores</w:t>
            </w:r>
          </w:p>
        </w:tc>
        <w:tc>
          <w:tcPr>
            <w:tcW w:type="dxa" w:w="3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Retained for the case lifecycle plus organizational reporting period.</w:t>
            </w:r>
          </w:p>
        </w:tc>
        <w:tc>
          <w:tcPr>
            <w:tcW w:type="dxa" w:w="36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Configurable per organization.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Analyst decisions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Long-term retention to support accountability and audit.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Should not include conversation content.</w:t>
            </w:r>
          </w:p>
        </w:tc>
      </w:tr>
      <w:tr>
        <w:tc>
          <w:tcPr>
            <w:tcW w:type="dxa" w:w="21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Audit logs</w:t>
            </w:r>
          </w:p>
        </w:tc>
        <w:tc>
          <w:tcPr>
            <w:tcW w:type="dxa" w:w="3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Long-term retention; configurable minimum (suggest 1–3 years).</w:t>
            </w:r>
          </w:p>
        </w:tc>
        <w:tc>
          <w:tcPr>
            <w:tcW w:type="dxa" w:w="36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Must contain metadata only, not raw conversation content.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Cache entries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5–30 minutes TTL; never include raw conversations.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Short-expiry only.</w:t>
            </w:r>
          </w:p>
        </w:tc>
      </w:tr>
      <w:tr>
        <w:tc>
          <w:tcPr>
            <w:tcW w:type="dxa" w:w="21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DLQ payloads after resolution</w:t>
            </w:r>
          </w:p>
        </w:tc>
        <w:tc>
          <w:tcPr>
            <w:tcW w:type="dxa" w:w="3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Deleted after investigation; retain error metadata only.</w:t>
            </w:r>
          </w:p>
        </w:tc>
        <w:tc>
          <w:tcPr>
            <w:tcW w:type="dxa" w:w="36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Payload must not contain unredacted content.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Research exports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Require de-identification and privacy risk review, plus organizational approval before any export.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Not generated automatically.</w:t>
            </w:r>
          </w:p>
        </w:tc>
      </w:tr>
    </w:tbl>
    <w:p>
      <w:r>
        <w:rPr>
          <w:sz w:val="4"/>
          <w:szCs w:val="4"/>
        </w:rPr>
        <w:t xml:space="preserve"/>
      </w:r>
    </w:p>
    <w:p>
      <w:pPr>
        <w:spacing w:before="80" w:after="80"/>
      </w:pPr>
      <w:r>
        <w:rPr>
          <w:rFonts w:ascii="Aptos" w:hAnsi="Aptos" w:eastAsia="Aptos" w:cs="Aptos"/>
          <w:b/>
          <w:sz w:val="20"/>
        </w:rPr>
        <w:t xml:space="preserve">Object storage redaction scope: </w:t>
      </w:r>
      <w:r>
        <w:rPr>
          <w:rFonts w:ascii="Aptos" w:hAnsi="Aptos" w:eastAsia="Aptos" w:cs="Aptos"/>
          <w:b w:val="0"/>
          <w:sz w:val="20"/>
        </w:rPr>
        <w:t>Long-lived object storage holds only redacted or organization-approved artifacts. When temporary staging of an unredacted upload is unavoidable, it is placed in a restricted quarantine prefix with a short TTL and is deleted immediately after successful redaction, consistent with the unredacted-data rule above.</w:t>
      </w:r>
    </w:p>
    <w:p>
      <w:pPr>
        <w:pStyle w:val="Heading2"/>
        <w:spacing w:after="80" w:before="240"/>
      </w:pPr>
      <w:r>
        <w:rPr>
          <w:rFonts w:ascii="Aptos" w:cs="Aptos" w:eastAsia="Aptos" w:hAnsi="Aptos"/>
          <w:b/>
          <w:bCs/>
          <w:sz w:val="24"/>
          <w:szCs w:val="24"/>
        </w:rPr>
        <w:t xml:space="preserve">10.1 Deletion Flow</w:t>
      </w:r>
    </w:p>
    <w:p>
      <w:pPr>
        <w:pBdr>
          <w:left w:val="single" w:color="AAAAAA" w:sz="6" w:space="8"/>
        </w:pBdr>
        <w:shd w:fill="F5F5F5" w:val="clear"/>
        <w:spacing w:after="120" w:before="120"/>
        <w:ind w:left="360"/>
        <w:keepLines/>
      </w:pPr>
      <w:r>
        <w:rPr>
          <w:rFonts w:ascii="Courier New" w:cs="Courier New" w:eastAsia="Courier New" w:hAnsi="Courier New"/>
          <w:sz w:val="17"/>
          <w:szCs w:val="17"/>
        </w:rPr>
        <w:t xml:space="preserve">Retention period expires</w:t>
        <w:br/>
        <w:t xml:space="preserve">        ↓</w:t>
        <w:br/>
        <w:t xml:space="preserve">Deletion job checks for legal or safeguarding hold</w:t>
        <w:br/>
        <w:t xml:space="preserve">        ↓</w:t>
        <w:br/>
        <w:t xml:space="preserve">If hold active → defer deletion; log deferral</w:t>
        <w:br/>
        <w:t xml:space="preserve">        ↓</w:t>
        <w:br/>
        <w:t xml:space="preserve">If no hold → delete conversation content</w:t>
        <w:br/>
        <w:t xml:space="preserve">        ↓</w:t>
        <w:br/>
        <w:t xml:space="preserve">Remove cache entries and derived temporary artifacts</w:t>
        <w:br/>
        <w:t xml:space="preserve">        ↓</w:t>
        <w:br/>
        <w:t xml:space="preserve">Write deletion event to audit log</w:t>
      </w:r>
    </w:p>
    <w:p>
      <w:r>
        <w:rPr>
          <w:sz w:val="4"/>
          <w:szCs w:val="4"/>
        </w:rPr>
        <w:t xml:space="preserve"/>
      </w:r>
    </w:p>
    <w:p>
      <w:pPr>
        <w:pStyle w:val="Heading1"/>
        <w:spacing w:after="120" w:before="360"/>
      </w:pPr>
      <w:r>
        <w:rPr>
          <w:rFonts w:ascii="Aptos" w:cs="Aptos" w:eastAsia="Aptos" w:hAnsi="Aptos"/>
          <w:b/>
          <w:bCs/>
          <w:color w:val="1F4E79"/>
          <w:sz w:val="28"/>
          <w:szCs w:val="28"/>
        </w:rPr>
        <w:t xml:space="preserve">11. API Layer and Load Balancer</w:t>
      </w:r>
    </w:p>
    <w:p>
      <w:pPr>
        <w:spacing w:after="80" w:before="80"/>
      </w:pPr>
      <w:r>
        <w:rPr>
          <w:rFonts w:ascii="Aptos" w:cs="Aptos" w:eastAsia="Aptos" w:hAnsi="Aptos"/>
          <w:sz w:val="20"/>
          <w:szCs w:val="20"/>
        </w:rPr>
        <w:t>The load balancer distributes traffic across stateless API instances and removes unhealthy instances through health checks. The API layer enforces authentication, authorization, rate limits, request validation, versioning, routing, CORS, security headers, and request-size limits. The API layer must not execute model inference directly. Implemented request-content limits (`backend/api/schemas.py`): a single message's text is capped at 3,000 characters and a case at 120 messages -- operational abuse/payload-size guards, not a proxy for the AI Analysis Pipeline's own per-message token budget (companion Hybrid Conversation Risk Detection Report, Section 4.1/19.5). A case over the message-count limit is rejected outright; a case within it but longer than the rolling window size is still split into multiple sequential analysis windows rather than truncated to the most recent one (same report, Section 9.1).</w:t>
      </w:r>
    </w:p>
    <w:p>
      <w:pPr>
        <w:spacing w:after="80" w:before="80"/>
      </w:pPr>
      <w:r>
        <w:rPr>
          <w:rFonts w:ascii="Aptos" w:cs="Aptos" w:eastAsia="Aptos" w:hAnsi="Aptos"/>
          <w:sz w:val="20"/>
          <w:szCs w:val="20"/>
        </w:rPr>
        <w:t xml:space="preserve">For a container-based FastAPI deployment, WAF → Application Load Balancer → FastAPI replicas is the recommended production design. For the hackathon MVP, a single FastAPI instance is sufficient; the load balancer may be documented as a production target rather than implemented.</w:t>
      </w:r>
    </w:p>
    <w:p>
      <w:r>
        <w:rPr>
          <w:sz w:val="4"/>
          <w:szCs w:val="4"/>
        </w:rPr>
        <w:t xml:space="preserve"/>
      </w:r>
    </w:p>
    <w:p>
      <w:pPr>
        <w:pStyle w:val="Heading1"/>
        <w:spacing w:after="120" w:before="360"/>
      </w:pPr>
      <w:r>
        <w:rPr>
          <w:rFonts w:ascii="Aptos" w:cs="Aptos" w:eastAsia="Aptos" w:hAnsi="Aptos"/>
          <w:b/>
          <w:bCs/>
          <w:color w:val="1F4E79"/>
          <w:sz w:val="28"/>
          <w:szCs w:val="28"/>
        </w:rPr>
        <w:t xml:space="preserve">12. Monitoring and Observability</w:t>
      </w:r>
    </w:p>
    <w:p>
      <w:pPr>
        <w:spacing w:after="80" w:before="80"/>
      </w:pPr>
      <w:r>
        <w:rPr>
          <w:rFonts w:ascii="Aptos" w:cs="Aptos" w:eastAsia="Aptos" w:hAnsi="Aptos"/>
          <w:sz w:val="20"/>
          <w:szCs w:val="20"/>
        </w:rPr>
        <w:t xml:space="preserve">Observability covers four dimensions. Logs, metrics, and distributed traces must be linked by request_id, trace_id, and case_id. Logs and traces must never include raw conversation text, PII, or private analyst notes.</w:t>
      </w:r>
    </w:p>
    <w:p>
      <w:r>
        <w:rPr>
          <w:sz w:val="4"/>
          <w:szCs w:val="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CCCCC" w:sz="1"/>
              <w:left w:val="single" w:color="CCCCCC" w:sz="1"/>
              <w:bottom w:val="single" w:color="CCCCCC" w:sz="1"/>
              <w:right w:val="single" w:color="CCCCCC" w:sz="1"/>
            </w:tcBorders>
            <w:shd w:fill="D9EAF0" w:val="clear"/>
            <w:tcMar>
              <w:top w:type="dxa" w:w="80"/>
              <w:left w:type="dxa" w:w="140"/>
              <w:bottom w:type="dxa" w:w="80"/>
              <w:right w:type="dxa" w:w="140"/>
            </w:tcMar>
            <w:vAlign w:val="center"/>
          </w:tcPr>
          <w:p>
            <w:r>
              <w:rPr>
                <w:rFonts w:ascii="Aptos" w:cs="Aptos" w:eastAsia="Aptos" w:hAnsi="Aptos"/>
                <w:b/>
                <w:bCs/>
                <w:sz w:val="18"/>
                <w:szCs w:val="18"/>
              </w:rPr>
              <w:t xml:space="preserve">Area</w:t>
            </w:r>
          </w:p>
        </w:tc>
        <w:tc>
          <w:tcPr>
            <w:tcW w:type="dxa" w:w="7000"/>
            <w:tcBorders>
              <w:top w:val="single" w:color="CCCCCC" w:sz="1"/>
              <w:left w:val="single" w:color="CCCCCC" w:sz="1"/>
              <w:bottom w:val="single" w:color="CCCCCC" w:sz="1"/>
              <w:right w:val="single" w:color="CCCCCC" w:sz="1"/>
            </w:tcBorders>
            <w:shd w:fill="D9EAF0" w:val="clear"/>
            <w:tcMar>
              <w:top w:type="dxa" w:w="80"/>
              <w:left w:type="dxa" w:w="140"/>
              <w:bottom w:type="dxa" w:w="80"/>
              <w:right w:type="dxa" w:w="140"/>
            </w:tcMar>
            <w:vAlign w:val="center"/>
          </w:tcPr>
          <w:p>
            <w:r>
              <w:rPr>
                <w:rFonts w:ascii="Aptos" w:cs="Aptos" w:eastAsia="Aptos" w:hAnsi="Aptos"/>
                <w:b/>
                <w:bCs/>
                <w:sz w:val="18"/>
                <w:szCs w:val="18"/>
              </w:rPr>
              <w:t xml:space="preserve">Key Measures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Infrastructure</w:t>
            </w:r>
          </w:p>
        </w:tc>
        <w:tc>
          <w:tcPr>
            <w:tcW w:type="dxa" w:w="7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CPU/GPU, memory, disk, database connections, queue depth, cache hit rate, container restarts, availability.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Application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Request count, p50/p95/p99 latency, 4xx/5xx rate, timeouts, retries, failed jobs, validation and redaction failures.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AI / Model</w:t>
            </w:r>
          </w:p>
        </w:tc>
        <w:tc>
          <w:tcPr>
            <w:tcW w:type="dxa" w:w="7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Model version, inference latency, score and confidence distributions, low-confidence rate, rule–model disagreement rate, drift indicators, missing-data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Safety Workflow</w:t>
            </w:r>
          </w:p>
        </w:tc>
        <w:tc>
          <w:tcPr>
            <w:tcW w:type="dxa" w:w="7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Review queue depth, urgent-case wait time, analyst override rate, false-positive rate, referral rate, insufficient-data rate, average review time.</w:t>
            </w:r>
          </w:p>
        </w:tc>
      </w:tr>
    </w:tbl>
    <w:p>
      <w:r>
        <w:rPr>
          <w:sz w:val="4"/>
          <w:szCs w:val="4"/>
        </w:rPr>
        <w:t xml:space="preserve"/>
      </w:r>
    </w:p>
    <w:p>
      <w:pPr>
        <w:pStyle w:val="Heading2"/>
        <w:spacing w:after="80" w:before="240"/>
      </w:pPr>
      <w:r>
        <w:rPr>
          <w:rFonts w:ascii="Aptos" w:cs="Aptos" w:eastAsia="Aptos" w:hAnsi="Aptos"/>
          <w:b/>
          <w:bCs/>
          <w:color w:val="2E75B6"/>
          <w:sz w:val="24"/>
          <w:szCs w:val="24"/>
        </w:rPr>
        <w:t xml:space="preserve">12.1 Alert Thresholds and Escalation Path</w:t>
      </w:r>
    </w:p>
    <w:p>
      <w:pPr>
        <w:spacing w:after="80" w:before="80"/>
      </w:pPr>
      <w:r>
        <w:rPr>
          <w:rFonts w:ascii="Aptos" w:cs="Aptos" w:eastAsia="Aptos" w:hAnsi="Aptos"/>
          <w:sz w:val="20"/>
          <w:szCs w:val="20"/>
        </w:rPr>
        <w:t xml:space="preserve">Specific thresholds and notification channels must be agreed with each deploying organization. The values below are illustrative starting points. All alert events must be written to the audit log independently of the notification channel.</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1800"/>
        <w:gridCol w:w="2200"/>
        <w:gridCol w:w="2560"/>
      </w:tblGrid>
      <w:tr>
        <w:tc>
          <w:tcPr>
            <w:tcW w:type="dxa" w:w="2800"/>
            <w:shd w:fill="1F4E79" w:val="clear"/>
            <w:tcMar>
              <w:top w:type="dxa" w:w="80"/>
              <w:left w:type="dxa" w:w="120"/>
              <w:bottom w:type="dxa" w:w="80"/>
              <w:right w:type="dxa" w:w="120"/>
            </w:tcMar>
          </w:tcPr>
          <w:p>
            <w:r>
              <w:rPr>
                <w:b/>
                <w:bCs/>
                <w:color w:val="FFFFFF"/>
                <w:sz w:val="18"/>
                <w:szCs w:val="18"/>
              </w:rPr>
              <w:t>Condition</w:t>
            </w:r>
          </w:p>
        </w:tc>
        <w:tc>
          <w:tcPr>
            <w:tcW w:type="dxa" w:w="1800"/>
            <w:shd w:fill="1F4E79" w:val="clear"/>
            <w:tcMar>
              <w:top w:type="dxa" w:w="80"/>
              <w:left w:type="dxa" w:w="120"/>
              <w:bottom w:type="dxa" w:w="80"/>
              <w:right w:type="dxa" w:w="120"/>
            </w:tcMar>
          </w:tcPr>
          <w:p>
            <w:r>
              <w:rPr>
                <w:b/>
                <w:bCs/>
                <w:color w:val="FFFFFF"/>
                <w:sz w:val="18"/>
                <w:szCs w:val="18"/>
              </w:rPr>
              <w:t>Illustrative Threshold</w:t>
            </w:r>
          </w:p>
        </w:tc>
        <w:tc>
          <w:tcPr>
            <w:tcW w:type="dxa" w:w="2200"/>
            <w:shd w:fill="1F4E79" w:val="clear"/>
            <w:tcMar>
              <w:top w:type="dxa" w:w="80"/>
              <w:left w:type="dxa" w:w="120"/>
              <w:bottom w:type="dxa" w:w="80"/>
              <w:right w:type="dxa" w:w="120"/>
            </w:tcMar>
          </w:tcPr>
          <w:p>
            <w:r>
              <w:rPr>
                <w:b/>
                <w:bCs/>
                <w:color w:val="FFFFFF"/>
                <w:sz w:val="18"/>
                <w:szCs w:val="18"/>
              </w:rPr>
              <w:t>Notification Channel</w:t>
            </w:r>
          </w:p>
        </w:tc>
        <w:tc>
          <w:tcPr>
            <w:tcW w:type="dxa" w:w="2560"/>
            <w:shd w:fill="1F4E79" w:val="clear"/>
            <w:tcMar>
              <w:top w:type="dxa" w:w="80"/>
              <w:left w:type="dxa" w:w="120"/>
              <w:bottom w:type="dxa" w:w="80"/>
              <w:right w:type="dxa" w:w="120"/>
            </w:tcMar>
          </w:tcPr>
          <w:p>
            <w:r>
              <w:rPr>
                <w:b/>
                <w:bCs/>
                <w:color w:val="FFFFFF"/>
                <w:sz w:val="18"/>
                <w:szCs w:val="18"/>
              </w:rPr>
              <w:t>Escalation Owner</w:t>
            </w:r>
          </w:p>
        </w:tc>
      </w:tr>
      <w:tr>
        <w:tc>
          <w:tcPr>
            <w:tcW w:type="dxa" w:w="2800"/>
            <w:tcMar>
              <w:top w:type="dxa" w:w="80"/>
              <w:left w:type="dxa" w:w="120"/>
              <w:bottom w:type="dxa" w:w="80"/>
              <w:right w:type="dxa" w:w="120"/>
            </w:tcMar>
          </w:tcPr>
          <w:p>
            <w:r>
              <w:rPr>
                <w:sz w:val="18"/>
                <w:szCs w:val="18"/>
              </w:rPr>
              <w:t>DLQ depth exceeds limit</w:t>
            </w:r>
          </w:p>
        </w:tc>
        <w:tc>
          <w:tcPr>
            <w:tcW w:type="dxa" w:w="1800"/>
            <w:tcMar>
              <w:top w:type="dxa" w:w="80"/>
              <w:left w:type="dxa" w:w="120"/>
              <w:bottom w:type="dxa" w:w="80"/>
              <w:right w:type="dxa" w:w="120"/>
            </w:tcMar>
          </w:tcPr>
          <w:p>
            <w:r>
              <w:rPr>
                <w:sz w:val="18"/>
                <w:szCs w:val="18"/>
              </w:rPr>
              <w:t>&gt; 10 items</w:t>
            </w:r>
          </w:p>
        </w:tc>
        <w:tc>
          <w:tcPr>
            <w:tcW w:type="dxa" w:w="2200"/>
            <w:tcMar>
              <w:top w:type="dxa" w:w="80"/>
              <w:left w:type="dxa" w:w="120"/>
              <w:bottom w:type="dxa" w:w="80"/>
              <w:right w:type="dxa" w:w="120"/>
            </w:tcMar>
          </w:tcPr>
          <w:p>
            <w:r>
              <w:rPr>
                <w:sz w:val="18"/>
                <w:szCs w:val="18"/>
              </w:rPr>
              <w:t>PagerDuty / on-call alert</w:t>
            </w:r>
          </w:p>
        </w:tc>
        <w:tc>
          <w:tcPr>
            <w:tcW w:type="dxa" w:w="2560"/>
            <w:tcMar>
              <w:top w:type="dxa" w:w="80"/>
              <w:left w:type="dxa" w:w="120"/>
              <w:bottom w:type="dxa" w:w="80"/>
              <w:right w:type="dxa" w:w="120"/>
            </w:tcMar>
          </w:tcPr>
          <w:p>
            <w:r>
              <w:rPr>
                <w:sz w:val="18"/>
                <w:szCs w:val="18"/>
              </w:rPr>
              <w:t>Platform operations team; investigate within 30 min.</w:t>
            </w:r>
          </w:p>
        </w:tc>
      </w:tr>
      <w:tr>
        <w:tc>
          <w:tcPr>
            <w:tcW w:type="dxa" w:w="2800"/>
            <w:shd w:fill="EBF3FB" w:val="clear"/>
            <w:tcMar>
              <w:top w:type="dxa" w:w="80"/>
              <w:left w:type="dxa" w:w="120"/>
              <w:bottom w:type="dxa" w:w="80"/>
              <w:right w:type="dxa" w:w="120"/>
            </w:tcMar>
          </w:tcPr>
          <w:p>
            <w:r>
              <w:rPr>
                <w:sz w:val="18"/>
                <w:szCs w:val="18"/>
              </w:rPr>
              <w:t>Analyst-designated urgent case or severe-signal policy case wait time exceeds target</w:t>
            </w:r>
          </w:p>
        </w:tc>
        <w:tc>
          <w:tcPr>
            <w:tcW w:type="dxa" w:w="1800"/>
            <w:shd w:fill="EBF3FB" w:val="clear"/>
            <w:tcMar>
              <w:top w:type="dxa" w:w="80"/>
              <w:left w:type="dxa" w:w="120"/>
              <w:bottom w:type="dxa" w:w="80"/>
              <w:right w:type="dxa" w:w="120"/>
            </w:tcMar>
          </w:tcPr>
          <w:p>
            <w:r>
              <w:rPr>
                <w:sz w:val="18"/>
                <w:szCs w:val="18"/>
              </w:rPr>
              <w:t>&gt; 5 min in queue</w:t>
            </w:r>
          </w:p>
        </w:tc>
        <w:tc>
          <w:tcPr>
            <w:tcW w:type="dxa" w:w="2200"/>
            <w:shd w:fill="EBF3FB" w:val="clear"/>
            <w:tcMar>
              <w:top w:type="dxa" w:w="80"/>
              <w:left w:type="dxa" w:w="120"/>
              <w:bottom w:type="dxa" w:w="80"/>
              <w:right w:type="dxa" w:w="120"/>
            </w:tcMar>
          </w:tcPr>
          <w:p>
            <w:r>
              <w:rPr>
                <w:sz w:val="18"/>
                <w:szCs w:val="18"/>
              </w:rPr>
              <w:t>Slack / email to ops</w:t>
            </w:r>
          </w:p>
        </w:tc>
        <w:tc>
          <w:tcPr>
            <w:tcW w:type="dxa" w:w="2560"/>
            <w:shd w:fill="EBF3FB" w:val="clear"/>
            <w:tcMar>
              <w:top w:type="dxa" w:w="80"/>
              <w:left w:type="dxa" w:w="120"/>
              <w:bottom w:type="dxa" w:w="80"/>
              <w:right w:type="dxa" w:w="120"/>
            </w:tcMar>
          </w:tcPr>
          <w:p>
            <w:r>
              <w:rPr>
                <w:sz w:val="18"/>
                <w:szCs w:val="18"/>
              </w:rPr>
              <w:t>Ops team; scale workers or re-prioritize queue.</w:t>
            </w:r>
          </w:p>
        </w:tc>
      </w:tr>
      <w:tr>
        <w:tc>
          <w:tcPr>
            <w:tcW w:type="dxa" w:w="2800"/>
            <w:tcMar>
              <w:top w:type="dxa" w:w="80"/>
              <w:left w:type="dxa" w:w="120"/>
              <w:bottom w:type="dxa" w:w="80"/>
              <w:right w:type="dxa" w:w="120"/>
            </w:tcMar>
          </w:tcPr>
          <w:p>
            <w:r>
              <w:rPr>
                <w:sz w:val="18"/>
                <w:szCs w:val="18"/>
              </w:rPr>
              <w:t>API error rate elevated</w:t>
            </w:r>
          </w:p>
        </w:tc>
        <w:tc>
          <w:tcPr>
            <w:tcW w:type="dxa" w:w="1800"/>
            <w:tcMar>
              <w:top w:type="dxa" w:w="80"/>
              <w:left w:type="dxa" w:w="120"/>
              <w:bottom w:type="dxa" w:w="80"/>
              <w:right w:type="dxa" w:w="120"/>
            </w:tcMar>
          </w:tcPr>
          <w:p>
            <w:r>
              <w:rPr>
                <w:sz w:val="18"/>
                <w:szCs w:val="18"/>
              </w:rPr>
              <w:t>5xx rate &gt; 1% over 5 min</w:t>
            </w:r>
          </w:p>
        </w:tc>
        <w:tc>
          <w:tcPr>
            <w:tcW w:type="dxa" w:w="2200"/>
            <w:tcMar>
              <w:top w:type="dxa" w:w="80"/>
              <w:left w:type="dxa" w:w="120"/>
              <w:bottom w:type="dxa" w:w="80"/>
              <w:right w:type="dxa" w:w="120"/>
            </w:tcMar>
          </w:tcPr>
          <w:p>
            <w:r>
              <w:rPr>
                <w:sz w:val="18"/>
                <w:szCs w:val="18"/>
              </w:rPr>
              <w:t>PagerDuty / on-call alert</w:t>
            </w:r>
          </w:p>
        </w:tc>
        <w:tc>
          <w:tcPr>
            <w:tcW w:type="dxa" w:w="2560"/>
            <w:tcMar>
              <w:top w:type="dxa" w:w="80"/>
              <w:left w:type="dxa" w:w="120"/>
              <w:bottom w:type="dxa" w:w="80"/>
              <w:right w:type="dxa" w:w="120"/>
            </w:tcMar>
          </w:tcPr>
          <w:p>
            <w:r>
              <w:rPr>
                <w:sz w:val="18"/>
                <w:szCs w:val="18"/>
              </w:rPr>
              <w:t>On-call engineer; check circuit breakers and service logs.</w:t>
            </w:r>
          </w:p>
        </w:tc>
      </w:tr>
      <w:tr>
        <w:tc>
          <w:tcPr>
            <w:tcW w:type="dxa" w:w="2800"/>
            <w:shd w:fill="EBF3FB" w:val="clear"/>
            <w:tcMar>
              <w:top w:type="dxa" w:w="80"/>
              <w:left w:type="dxa" w:w="120"/>
              <w:bottom w:type="dxa" w:w="80"/>
              <w:right w:type="dxa" w:w="120"/>
            </w:tcMar>
          </w:tcPr>
          <w:p>
            <w:r>
              <w:rPr>
                <w:sz w:val="18"/>
                <w:szCs w:val="18"/>
              </w:rPr>
              <w:t>Model score distribution drift</w:t>
            </w:r>
          </w:p>
        </w:tc>
        <w:tc>
          <w:tcPr>
            <w:tcW w:type="dxa" w:w="1800"/>
            <w:shd w:fill="EBF3FB" w:val="clear"/>
            <w:tcMar>
              <w:top w:type="dxa" w:w="80"/>
              <w:left w:type="dxa" w:w="120"/>
              <w:bottom w:type="dxa" w:w="80"/>
              <w:right w:type="dxa" w:w="120"/>
            </w:tcMar>
          </w:tcPr>
          <w:p>
            <w:r>
              <w:rPr>
                <w:sz w:val="18"/>
                <w:szCs w:val="18"/>
              </w:rPr>
              <w:t>Mean score shifts &gt; 15% vs. baseline</w:t>
            </w:r>
          </w:p>
        </w:tc>
        <w:tc>
          <w:tcPr>
            <w:tcW w:type="dxa" w:w="2200"/>
            <w:shd w:fill="EBF3FB" w:val="clear"/>
            <w:tcMar>
              <w:top w:type="dxa" w:w="80"/>
              <w:left w:type="dxa" w:w="120"/>
              <w:bottom w:type="dxa" w:w="80"/>
              <w:right w:type="dxa" w:w="120"/>
            </w:tcMar>
          </w:tcPr>
          <w:p>
            <w:r>
              <w:rPr>
                <w:sz w:val="18"/>
                <w:szCs w:val="18"/>
              </w:rPr>
              <w:t>Email / Slack to ML team</w:t>
            </w:r>
          </w:p>
        </w:tc>
        <w:tc>
          <w:tcPr>
            <w:tcW w:type="dxa" w:w="2560"/>
            <w:shd w:fill="EBF3FB" w:val="clear"/>
            <w:tcMar>
              <w:top w:type="dxa" w:w="80"/>
              <w:left w:type="dxa" w:w="120"/>
              <w:bottom w:type="dxa" w:w="80"/>
              <w:right w:type="dxa" w:w="120"/>
            </w:tcMar>
          </w:tcPr>
          <w:p>
            <w:r>
              <w:rPr>
                <w:sz w:val="18"/>
                <w:szCs w:val="18"/>
              </w:rPr>
              <w:t>ML team; review model version and input distribution.</w:t>
            </w:r>
          </w:p>
        </w:tc>
      </w:tr>
      <w:tr>
        <w:tc>
          <w:tcPr>
            <w:tcW w:type="dxa" w:w="2800"/>
            <w:tcMar>
              <w:top w:type="dxa" w:w="80"/>
              <w:left w:type="dxa" w:w="120"/>
              <w:bottom w:type="dxa" w:w="80"/>
              <w:right w:type="dxa" w:w="120"/>
            </w:tcMar>
          </w:tcPr>
          <w:p>
            <w:r>
              <w:rPr>
                <w:sz w:val="18"/>
                <w:szCs w:val="18"/>
              </w:rPr>
              <w:t>Audit log write failure</w:t>
            </w:r>
          </w:p>
        </w:tc>
        <w:tc>
          <w:tcPr>
            <w:tcW w:type="dxa" w:w="1800"/>
            <w:tcMar>
              <w:top w:type="dxa" w:w="80"/>
              <w:left w:type="dxa" w:w="120"/>
              <w:bottom w:type="dxa" w:w="80"/>
              <w:right w:type="dxa" w:w="120"/>
            </w:tcMar>
          </w:tcPr>
          <w:p>
            <w:r>
              <w:rPr>
                <w:sz w:val="18"/>
                <w:szCs w:val="18"/>
              </w:rPr>
              <w:t>Any failure</w:t>
            </w:r>
          </w:p>
        </w:tc>
        <w:tc>
          <w:tcPr>
            <w:tcW w:type="dxa" w:w="2200"/>
            <w:tcMar>
              <w:top w:type="dxa" w:w="80"/>
              <w:left w:type="dxa" w:w="120"/>
              <w:bottom w:type="dxa" w:w="80"/>
              <w:right w:type="dxa" w:w="120"/>
            </w:tcMar>
          </w:tcPr>
          <w:p>
            <w:r>
              <w:rPr>
                <w:sz w:val="18"/>
                <w:szCs w:val="18"/>
              </w:rPr>
              <w:t>PagerDuty (critical)</w:t>
            </w:r>
          </w:p>
        </w:tc>
        <w:tc>
          <w:tcPr>
            <w:tcW w:type="dxa" w:w="2560"/>
            <w:tcMar>
              <w:top w:type="dxa" w:w="80"/>
              <w:left w:type="dxa" w:w="120"/>
              <w:bottom w:type="dxa" w:w="80"/>
              <w:right w:type="dxa" w:w="120"/>
            </w:tcMar>
          </w:tcPr>
          <w:p>
            <w:r>
              <w:rPr>
                <w:sz w:val="18"/>
                <w:szCs w:val="18"/>
              </w:rPr>
              <w:t>On-call engineer + compliance lead; immutability is a compliance requirement.</w:t>
            </w:r>
          </w:p>
        </w:tc>
      </w:tr>
    </w:tbl>
    <w:p>
      <w:r>
        <w:rPr>
          <w:sz w:val="4"/>
          <w:szCs w:val="4"/>
        </w:rPr>
        <w:t xml:space="preserve"/>
      </w:r>
    </w:p>
    <w:p>
      <w:pPr>
        <w:pStyle w:val="Heading1"/>
        <w:spacing w:after="120" w:before="360"/>
      </w:pPr>
      <w:r>
        <w:rPr>
          <w:rFonts w:ascii="Aptos" w:cs="Aptos" w:eastAsia="Aptos" w:hAnsi="Aptos"/>
          <w:b/>
          <w:bCs/>
          <w:color w:val="1F4E79"/>
          <w:sz w:val="28"/>
          <w:szCs w:val="28"/>
        </w:rPr>
        <w:t xml:space="preserve">13. MVP and Production Scope</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AF0" w:val="clear"/>
            <w:tcMar>
              <w:top w:type="dxa" w:w="80"/>
              <w:left w:type="dxa" w:w="140"/>
              <w:bottom w:type="dxa" w:w="80"/>
              <w:right w:type="dxa" w:w="140"/>
            </w:tcMar>
            <w:vAlign w:val="center"/>
          </w:tcPr>
          <w:p>
            <w:r>
              <w:rPr>
                <w:rFonts w:ascii="Aptos" w:cs="Aptos" w:eastAsia="Aptos" w:hAnsi="Aptos"/>
                <w:b/>
                <w:bCs/>
                <w:sz w:val="18"/>
                <w:szCs w:val="18"/>
              </w:rPr>
              <w:t xml:space="preserve">Hackathon MVP</w:t>
            </w:r>
          </w:p>
        </w:tc>
        <w:tc>
          <w:tcPr>
            <w:tcW w:type="dxa" w:w="4680"/>
            <w:tcBorders>
              <w:top w:val="single" w:color="CCCCCC" w:sz="1"/>
              <w:left w:val="single" w:color="CCCCCC" w:sz="1"/>
              <w:bottom w:val="single" w:color="CCCCCC" w:sz="1"/>
              <w:right w:val="single" w:color="CCCCCC" w:sz="1"/>
            </w:tcBorders>
            <w:shd w:fill="D9EAF0" w:val="clear"/>
            <w:tcMar>
              <w:top w:type="dxa" w:w="80"/>
              <w:left w:type="dxa" w:w="140"/>
              <w:bottom w:type="dxa" w:w="80"/>
              <w:right w:type="dxa" w:w="140"/>
            </w:tcMar>
            <w:vAlign w:val="center"/>
          </w:tcPr>
          <w:p>
            <w:r>
              <w:rPr>
                <w:rFonts w:ascii="Aptos" w:cs="Aptos" w:eastAsia="Aptos" w:hAnsi="Aptos"/>
                <w:b/>
                <w:bCs/>
                <w:sz w:val="18"/>
                <w:szCs w:val="18"/>
              </w:rPr>
              <w:t xml:space="preserve">Production Target</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Single FastAPI instance.</w:t>
            </w:r>
          </w:p>
        </w:tc>
        <w:tc>
          <w:tcPr>
            <w:tcW w:type="dxa" w:w="46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WAF and load balancer with health checks.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Basic authentication.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RBAC with organization-level data isolation and MFA.</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Request validation.</w:t>
            </w:r>
          </w:p>
        </w:tc>
        <w:tc>
          <w:tcPr>
            <w:tcW w:type="dxa" w:w="46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Replicated stateless API services with formal versioning.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AI preprocessing pipeline.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Redis-based rate limiting, short-lived caching, and DLQ workflow.</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Background task or lightweight queue.</w:t>
            </w:r>
          </w:p>
        </w:tc>
        <w:tc>
          <w:tcPr>
            <w:tcW w:type="dxa" w:w="46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Durable queue with dead-letter handling and controlled redrive.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Structured logs.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Centralized logs, metrics, traces, and formal alerts.</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PostgreSQL for the integrated MVP; SQLite permitted only for isolated local tests.</w:t>
            </w:r>
          </w:p>
        </w:tc>
        <w:tc>
          <w:tcPr>
            <w:tcW w:type="dxa" w:w="46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PostgreSQL with immutable audit log and configurable retention controls.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Human review queue.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ptos" w:cs="Aptos" w:eastAsia="Aptos" w:hAnsi="Aptos"/>
                <w:b w:val="false"/>
                <w:bCs w:val="false"/>
                <w:sz w:val="18"/>
                <w:szCs w:val="18"/>
              </w:rPr>
              <w:t xml:space="preserve">Autoscaling AI workers and independently scalable review workflow.</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Simplified explainability output.</w:t>
            </w:r>
          </w:p>
        </w:tc>
        <w:tc>
          <w:tcPr>
            <w:tcW w:type="dxa" w:w="468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r>
              <w:rPr>
                <w:rFonts w:ascii="Aptos" w:cs="Aptos" w:eastAsia="Aptos" w:hAnsi="Aptos"/>
                <w:b w:val="false"/>
                <w:bCs w:val="false"/>
                <w:sz w:val="18"/>
                <w:szCs w:val="18"/>
              </w:rPr>
              <w:t xml:space="preserve">Full structured explainability with mandatory disclaimers and attention qualifications.</w:t>
            </w:r>
          </w:p>
        </w:tc>
      </w:tr>
    </w:tbl>
    <w:p>
      <w:r>
        <w:rPr>
          <w:sz w:val="4"/>
          <w:szCs w:val="4"/>
        </w:rPr>
        <w:t xml:space="preserve"/>
      </w:r>
    </w:p>
    <w:p>
      <w:pPr>
        <w:pStyle w:val="Heading1"/>
        <w:spacing w:after="120" w:before="360"/>
      </w:pPr>
      <w:r>
        <w:rPr>
          <w:rFonts w:ascii="Aptos" w:cs="Aptos" w:eastAsia="Aptos" w:hAnsi="Aptos"/>
          <w:b/>
          <w:bCs/>
          <w:color w:val="1F4E79"/>
          <w:sz w:val="28"/>
          <w:szCs w:val="28"/>
        </w:rPr>
        <w:t xml:space="preserve">14. Final Architecture Statement</w:t>
      </w:r>
    </w:p>
    <w:p>
      <w:pPr>
        <w:spacing w:after="80" w:before="80"/>
      </w:pPr>
      <w:r>
        <w:rPr>
          <w:rFonts w:ascii="Aptos" w:cs="Aptos" w:eastAsia="Aptos" w:hAnsi="Aptos"/>
          <w:sz w:val="20"/>
          <w:szCs w:val="20"/>
        </w:rPr>
        <w:t xml:space="preserve">The system uses a layered, privacy-preserving, human-in-the-loop architecture to support nonprofit safety analysts and survivor-support organizations.</w:t>
      </w:r>
    </w:p>
    <w:p>
      <w:pPr>
        <w:spacing w:after="80" w:before="80"/>
      </w:pPr>
      <w:r>
        <w:rPr>
          <w:rFonts w:ascii="Aptos" w:cs="Aptos" w:eastAsia="Aptos" w:hAnsi="Aptos"/>
          <w:sz w:val="20"/>
          <w:szCs w:val="20"/>
        </w:rPr>
        <w:t xml:space="preserve">The external platform is not a linear inference pipeline. It supports three distinct workflows: analysts submit new cases for asynchronous AI analysis, retrieve existing cases and explanations through authorized query APIs backed by protected storage, and record review decisions that update case status. AI analysis results and analyst decisions are written back to the case store. Critical actions are recorded in an append-only audit log.</w:t>
      </w:r>
    </w:p>
    <w:p>
      <w:pPr>
        <w:spacing w:after="80" w:before="80"/>
      </w:pPr>
      <w:r>
        <w:rPr>
          <w:rFonts w:ascii="Aptos" w:cs="Aptos" w:eastAsia="Aptos" w:hAnsi="Aptos"/>
          <w:sz w:val="20"/>
          <w:szCs w:val="20"/>
        </w:rPr>
        <w:t xml:space="preserve">The API layer provides authentication, role-based authorization, organization-level data isolation, request validation, rate limiting, and routing. AI analysis is executed asynchronously through a durable job queue so that long-running inference does not block user requests. Failed jobs use bounded retries with exponential backoff and are moved to a dead-letter queue after repeated failure. Dead-letter items trigger operational alerts and require investigation, controlled redrive, or case closure.</w:t>
      </w:r>
    </w:p>
    <w:p>
      <w:pPr>
        <w:spacing w:after="80" w:before="80"/>
      </w:pPr>
      <w:r>
        <w:rPr>
          <w:rFonts w:ascii="Aptos" w:cs="Aptos" w:eastAsia="Aptos" w:hAnsi="Aptos"/>
          <w:sz w:val="20"/>
          <w:szCs w:val="20"/>
        </w:rPr>
        <w:t xml:space="preserve">Privacy-sensitive preprocessing remains part of the AI input pipeline. PII redaction, local speaker remapping, message ordering, timestamp conversion, and rolling-window construction occur once, before model inference. These steps are not duplicated by the external API layer.</w:t>
      </w:r>
    </w:p>
    <w:p>
      <w:pPr>
        <w:spacing w:after="80" w:before="80"/>
      </w:pPr>
      <w:r>
        <w:rPr>
          <w:rFonts w:ascii="Aptos" w:cs="Aptos" w:eastAsia="Aptos" w:hAnsi="Aptos"/>
          <w:sz w:val="20"/>
          <w:szCs w:val="20"/>
        </w:rPr>
        <w:t xml:space="preserve">The Explainability Service converts structured model and rule outputs into analyst-facing evidence organized into five types: triggered signals, rule evidence, model evidence, confidence and uncertainty, and data limitations. Attention values may be shown as indicators of model focus but are never presented as causal or legal evidence. Every output includes a non-removable disclaimer that the system does not identify individuals, make clinical or legal conclusions, or trigger enforcement actions.</w:t>
      </w:r>
    </w:p>
    <w:p>
      <w:pPr>
        <w:spacing w:after="80" w:before="80"/>
      </w:pPr>
      <w:r>
        <w:rPr>
          <w:rFonts w:ascii="Aptos" w:cs="Aptos" w:eastAsia="Aptos" w:hAnsi="Aptos"/>
          <w:sz w:val="20"/>
          <w:szCs w:val="20"/>
        </w:rPr>
        <w:t xml:space="preserve">Data retention follows data-minimization principles. Unredacted data is deleted immediately after preprocessing. Redacted conversations are retained only for the active review period. Audit records are retained long-term but contain metadata rather than conversation content. Retention periods are configurable per organization and jurisdiction.</w:t>
      </w:r>
    </w:p>
    <w:p>
      <w:pPr>
        <w:spacing w:after="80" w:before="80"/>
      </w:pPr>
      <w:r>
        <w:rPr>
          <w:rFonts w:ascii="Aptos" w:cs="Aptos" w:eastAsia="Aptos" w:hAnsi="Aptos"/>
          <w:sz w:val="20"/>
          <w:szCs w:val="20"/>
        </w:rPr>
        <w:t xml:space="preserve">Human reviewers remain the final decision-makers. The AI system identifies patterns, organizes evidence, estimates risk, prioritizes cases, and indicates uncertainty. It does not make determinations about individuals, clinical conditions, legal status, or organizational outcomes.</w:t>
      </w:r>
    </w:p>
    <w:p>
      <w:pPr>
        <w:spacing w:after="80" w:before="80"/>
      </w:pPr>
      <w:r>
        <w:rPr>
          <w:rFonts w:ascii="Aptos" w:cs="Aptos" w:eastAsia="Aptos" w:hAnsi="Aptos"/>
          <w:b/>
          <w:bCs/>
          <w:sz w:val="20"/>
          <w:szCs w:val="20"/>
        </w:rPr>
        <w:t xml:space="preserve">The final design prioritizes privacy, traceability, controlled access, operational reliability, and qualified human judgment over automatic enforcement or maximum throughput.</w:t>
      </w:r>
    </w:p>
    <w:p>
      <w:r>
        <w:t>Implementation note (2026-06-20): backend/ implements this design. Nine concurrency, multi-tenancy, and privacy bugs in the implementation -- an audit-log lock that didn't cover its own commit, a missing row lock allowing two contradictory decisions on one case, DLQ entries redrivable/closable more than once, a worker-crash recovery gap that silently consumed a retry attempt, a cross-organization DLQ depth/alert leak on the admin metrics endpoints, a concurrency-slot leak on a failed case submission, a PII phone-number pattern that missed unpunctuated digit runs, a validation-error path that could echo back unredacted conversation text, and a retention sweep that left redacted text behind in Result.evidence_json -- were found via code audit and fixed without changing this design. See External_Architecture_Gap_Analysis.md for file/line detail and the full doc-vs-implementation comparison. A further five bugs surfaced via live demo testing on 2026-06-21 (not code audit, actually running the stub- and real-mode demo end-to-end) -- a deterministic threat-phrase rule that missed several common threat phrasings across two separate rounds, a frontend Input Mode textbox that didn't clear when switching modes, a stub-mode tensor-shape crash on long messages, and real mode (`RISK_PLATFORM_MODEL_MODE=real`) never actually loading `.env`, so it could never authenticate to Claude despite a valid `ANTHROPIC_API_KEY` being present -- were found and fixed the same way, each with its own regression test.</w:t>
      </w:r>
    </w:p>
    <w:p>
      <w:r>
        <w:t>A further round of explainability-output and model-runtime gaps was closed later the same day (2026-06-21), found by testing the live analyst dashboard's UI rather than by code audit: the Explainability Service's model evidence previously omitted the rule safety score (the exact value the 0.8 human-review threshold checks) and the emotion component score / five mapped-emotion dimensions (fear/sadness/anger/distress/dependency) even though the inference pipeline already computed all of them – both are now included in ModelEvidence/ModelEvidenceOut; the case detail endpoint (GET /cases/{case_id}) now also returns the case's redacted message transcript (CaseMessageOut) so the dashboard can show analysts the conversation the evidence refers to, which it previously could not display at all. A live comparison of three otherwise-identical conversations escalating only in their final message found stub mode's cyberbullying/grooming component scores barely moved between a benign and an explicitly violent ending; backend/model_runtime/loader.py's _load_stub was confirmed to construct cyberbullying_head/grooming_head with no checkpoint loaded, so in stub mode – unlike what this document's mode description previously implied – those heads are framework-initialized (random), not just the encoders feeding them. A third model_runtime_mode, ‘local’, was added: it loads the same real trained_weights/ checkpoints as ‘real’ mode for cyberbullying/grooming/emotion-mapping but keeps the zero-signal LLM/dependency stand-ins, giving meaningful component scores for local UI testing with no ANTHROPIC_API_KEY and no per-case cost.</w:t>
      </w:r>
    </w:p>
    <w:p>
      <w:r>
        <w:t>A further round of privacy-preprocessing work closed two more gaps in the same area. First, PII redaction was found to be regex-only in practice, missing plain names and street addresses in message text -- confirmed live (neither a name like 'Alex' nor a full street address was redacted) -- and the redaction module's own comment claiming this gap was 'surfaced verbatim via the Explainability Service's data limitations output' was aspirational, not actual, since no such entry ever appeared in a real API response. Fixed by adding a US street-address regex and a local NER model (dslim/bert-base-NER, no LLM/API call, no added per-case cost) for person/place names, merging every redaction span against the original message text in a single pass rather than layering NER on top of already-redacted text -- the latter had caused a real, caught-and-fixed bug where NER tagged a fragment of an existing '[REDACTED_EMAIL]' marker as a false-positive entity -- and making the redaction-scope disclosure unconditionally present in every case's data_limitations rather than aspirational. Second, the 'Unredacted data is deleted immediately after preprocessing' claim above was independently re-verified against the current code, not just the design intent: the raw, unredacted message text submitted to POST /cases lives only in that request's local memory, is never written to any database table or log line (backend/monitoring/logging_setup.py's 'never log raw conversation text' rule was checked against every actual logger call in backend/, not just its own docstring claim), and the worker that runs analysis only ever reads back the already-redacted case_messages rows -- confirming this design statement holds in the current implementation, not only on paper.</w:t>
      </w:r>
    </w:p>
    <w:p>
      <w:r>
        <w:t>A further addition was made on 2026-06-22: the Explainability Service's confidence and uncertainty output now also includes an 'operable risk level' alongside the existing (RiskFusion-derived) risk level – the maximum of the cyberbullying/grooming/rule-safety component scores and the six LLM-extracted safety signals, bucketed with the same thresholds, so it does not depend on RiskFusion or EmotionScoreHead. This is display-only and intentionally does not feed human_review_required, since changing that routing decision was judged too consequential without separate, more careful validation. A live test on a benign two-message lunch-scheduling exchange found this new value still read 'high', because the Grooming Head's own already-disclosed meeting-language bias dominated the max – confirming the new aggregation logic is correct, but that it inherits whichever trained component's own biases happen to dominate, which the dashboard now states explicitly next to the metric.</w:t>
      </w:r>
    </w:p>
    <w:p>
      <w:r>
        <w:rPr>
          <w:sz w:val="4"/>
          <w:szCs w:val="4"/>
        </w:rPr>
        <w:t xml:space="preserve"/>
      </w:r>
    </w:p>
    <w:p>
      <w:pPr>
        <w:pStyle w:val="Heading1"/>
        <w:spacing w:after="120" w:before="360"/>
      </w:pPr>
      <w:r>
        <w:rPr>
          <w:rFonts w:ascii="Aptos" w:cs="Aptos" w:eastAsia="Aptos" w:hAnsi="Aptos"/>
          <w:b/>
          <w:bCs/>
          <w:color w:val="1F4E79"/>
          <w:sz w:val="28"/>
          <w:szCs w:val="28"/>
        </w:rPr>
        <w:t xml:space="preserve">15. Data Schema</w:t>
      </w:r>
    </w:p>
    <w:p>
      <w:pPr>
        <w:spacing w:after="80" w:before="80"/>
      </w:pPr>
      <w:r>
        <w:rPr>
          <w:rFonts w:ascii="Aptos" w:cs="Aptos" w:eastAsia="Aptos" w:hAnsi="Aptos"/>
          <w:sz w:val="20"/>
          <w:szCs w:val="20"/>
        </w:rPr>
        <w:t>The following defines the minimum schema for each primary table. Column types and constraints are illustrative; final definitions require implementation review. Tables are grouped by workflow role rather than dependency order: Organizations, Users, and Analysis Jobs (Sections 15.12-15.14) are referenced by foreign key from several tables defined earlier in this section.</w:t>
      </w:r>
    </w:p>
    <w:p>
      <w:pPr>
        <w:pStyle w:val="Heading2"/>
        <w:spacing w:after="80" w:before="240"/>
      </w:pPr>
      <w:r>
        <w:rPr>
          <w:rFonts w:ascii="Aptos" w:cs="Aptos" w:eastAsia="Aptos" w:hAnsi="Aptos"/>
          <w:b/>
          <w:bCs/>
          <w:color w:val="2E75B6"/>
          <w:sz w:val="24"/>
          <w:szCs w:val="24"/>
        </w:rPr>
        <w:t xml:space="preserve">15.1 Case State Machine</w:t>
      </w:r>
    </w:p>
    <w:p>
      <w:pPr>
        <w:spacing w:after="80" w:before="80"/>
      </w:pPr>
      <w:r>
        <w:rPr>
          <w:rFonts w:ascii="Aptos" w:cs="Aptos" w:eastAsia="Aptos" w:hAnsi="Aptos"/>
          <w:sz w:val="20"/>
          <w:szCs w:val="20"/>
        </w:rPr>
        <w:t xml:space="preserve">The status field in the Cases table must conform to the following state machine. Transitions outside this graph are not permitted.</w:t>
      </w:r>
    </w:p>
    <w:p>
      <w:pPr>
        <w:spacing w:after="40" w:before="40"/>
        <w:keepLines/>
      </w:pPr>
      <w:r>
        <w:rPr>
          <w:rFonts w:ascii="Courier New" w:cs="Courier New" w:eastAsia="Courier New" w:hAnsi="Courier New"/>
          <w:sz w:val="18"/>
          <w:szCs w:val="18"/>
        </w:rPr>
        <w:t>Submitted</w:t>
        <w:br/>
        <w:t xml:space="preserve">  → Validating</w:t>
        <w:br/>
        <w:t xml:space="preserve">      → Privacy Processing</w:t>
        <w:br/>
        <w:t xml:space="preserve">          → Queued</w:t>
        <w:br/>
        <w:t xml:space="preserve">              → Analyzing</w:t>
        <w:br/>
        <w:t xml:space="preserve">                  → Ready for Review</w:t>
        <w:br/>
        <w:t xml:space="preserve">                      → Under Review</w:t>
        <w:br/>
        <w:t xml:space="preserve">                          → Referred</w:t>
        <w:br/>
        <w:t xml:space="preserve">                          → Closed</w:t>
        <w:br/>
        <w:t xml:space="preserve">                          → More Information Required</w:t>
        <w:br/>
        <w:t xml:space="preserve">                              → Validating (new information re-enters preprocessing)</w:t>
        <w:br/>
        <w:br/>
        <w:t>Failure states (from any processing stage), with recovery transitions back into the graph above:</w:t>
        <w:br/>
        <w:t xml:space="preserve">  Validation Failed</w:t>
        <w:br/>
        <w:t xml:space="preserve">      → Validating (after corrected submission)</w:t>
        <w:br/>
        <w:t xml:space="preserve">      → Closed (submission abandoned)</w:t>
        <w:br/>
        <w:t xml:space="preserve">  Processing Failed</w:t>
        <w:br/>
        <w:t xml:space="preserve">      → Queued (after approved retry)</w:t>
        <w:br/>
        <w:t xml:space="preserve">      → DLQ Investigation (retries exhausted)</w:t>
        <w:br/>
        <w:t xml:space="preserve">  DLQ Investigation</w:t>
        <w:br/>
        <w:t xml:space="preserve">      → Queued (after redrive)</w:t>
        <w:br/>
        <w:t xml:space="preserve">      → Closed (input marked invalid)</w:t>
      </w:r>
    </w:p>
    <w:p>
      <w:pPr>
        <w:pStyle w:val="Heading2"/>
        <w:spacing w:after="80" w:before="240"/>
      </w:pPr>
      <w:r>
        <w:rPr>
          <w:rFonts w:ascii="Aptos" w:cs="Aptos" w:eastAsia="Aptos" w:hAnsi="Aptos"/>
          <w:b/>
          <w:bCs/>
          <w:color w:val="2E75B6"/>
          <w:sz w:val="24"/>
          <w:szCs w:val="24"/>
        </w:rPr>
        <w:t xml:space="preserve">15.2 Cases</w:t>
      </w:r>
    </w:p>
    <w:p>
      <w:pPr>
        <w:spacing w:after="40" w:before="40"/>
        <w:keepLines/>
      </w:pPr>
      <w:r>
        <w:rPr>
          <w:rFonts w:ascii="Courier New" w:cs="Courier New" w:eastAsia="Courier New" w:hAnsi="Courier New"/>
          <w:sz w:val="18"/>
          <w:szCs w:val="18"/>
        </w:rPr>
        <w:t>case_id             UUID PRIMARY KEY</w:t>
        <w:br/>
        <w:t>organization_id     UUID NOT NULL REFERENCES organizations(organization_id)</w:t>
        <w:br/>
        <w:t>submitted_by        UUID NOT NULL REFERENCES users(user_id)</w:t>
        <w:br/>
        <w:t>assigned_analyst_id UUID REFERENCES users(user_id)</w:t>
        <w:br/>
        <w:t>status              TEXT NOT NULL  -- see state machine above</w:t>
        <w:br/>
        <w:t>priority            TEXT NOT NULL DEFAULT 'standard'  -- standard | urgent</w:t>
        <w:br/>
        <w:t>source_type         TEXT NOT NULL  -- file_upload | api</w:t>
        <w:br/>
        <w:t>created_at          TIMESTAMPTZ NOT NULL</w:t>
        <w:br/>
        <w:t>updated_at          TIMESTAMPTZ NOT NULL</w:t>
        <w:br/>
        <w:t>retention_until     DATE NOT NULL</w:t>
        <w:br/>
        <w:t>hold_status         BOOLEAN NOT NULL DEFAULT FALSE</w:t>
        <w:br/>
        <w:br/>
        <w:t>CHECK (priority IN ('standard', 'urgent'))</w:t>
        <w:br/>
        <w:t>CHECK (source_type IN ('file_upload', 'api'))</w:t>
      </w:r>
    </w:p>
    <w:p>
      <w:pPr>
        <w:spacing w:before="80" w:after="80"/>
      </w:pPr>
      <w:r>
        <w:rPr>
          <w:rFonts w:ascii="Aptos" w:hAnsi="Aptos" w:eastAsia="Aptos" w:cs="Aptos"/>
          <w:b/>
          <w:sz w:val="20"/>
        </w:rPr>
        <w:t xml:space="preserve">Workflow enforcement: </w:t>
      </w:r>
      <w:r>
        <w:rPr>
          <w:rFonts w:ascii="Aptos" w:hAnsi="Aptos" w:eastAsia="Aptos" w:cs="Aptos"/>
          <w:b w:val="0"/>
          <w:sz w:val="20"/>
        </w:rPr>
        <w:t>The status column carries a CHECK constraint restricting it to valid state-machine values, and a BEFORE UPDATE trigger rejects any transition outside the graph in Section 15.1 by raising an exception, which rolls back the transaction.</w:t>
      </w:r>
    </w:p>
    <w:p>
      <w:pPr>
        <w:pStyle w:val="Heading2"/>
        <w:spacing w:after="80" w:before="240"/>
      </w:pPr>
      <w:r>
        <w:rPr>
          <w:rFonts w:ascii="Aptos" w:cs="Aptos" w:eastAsia="Aptos" w:hAnsi="Aptos"/>
          <w:b/>
          <w:bCs/>
          <w:color w:val="2E75B6"/>
          <w:sz w:val="24"/>
          <w:szCs w:val="24"/>
        </w:rPr>
        <w:t xml:space="preserve">15.3 Results</w:t>
      </w:r>
    </w:p>
    <w:p>
      <w:pPr>
        <w:spacing w:after="40" w:before="40"/>
        <w:keepLines/>
      </w:pPr>
      <w:r>
        <w:rPr>
          <w:rFonts w:ascii="Courier New" w:cs="Courier New" w:eastAsia="Courier New" w:hAnsi="Courier New"/>
          <w:sz w:val="18"/>
          <w:szCs w:val="18"/>
        </w:rPr>
        <w:t>result_id               UUID PRIMARY KEY</w:t>
        <w:br/>
        <w:t>case_id                 UUID NOT NULL REFERENCES cases(case_id)</w:t>
        <w:br/>
        <w:t>model_version           TEXT NOT NULL</w:t>
        <w:br/>
        <w:t>rule_version            TEXT NOT NULL</w:t>
        <w:br/>
        <w:t>preprocessing_version   TEXT NOT NULL</w:t>
        <w:br/>
        <w:t>risk_level              TEXT NOT NULL  -- low | medium | high | critical</w:t>
        <w:br/>
        <w:t>confidence              NUMERIC(4,3)   -- 0.000–1.000</w:t>
        <w:br/>
        <w:t>human_review_required   BOOLEAN NOT NULL</w:t>
        <w:br/>
        <w:t>created_at              TIMESTAMPTZ NOT NULL</w:t>
        <w:br/>
        <w:br/>
        <w:t>CHECK (risk_level IN ('low', 'medium', 'high', 'critical'))</w:t>
        <w:br/>
        <w:t>CHECK (confidence BETWEEN 0.000 AND 1.000)</w:t>
      </w:r>
    </w:p>
    <w:p>
      <w:pPr>
        <w:pStyle w:val="Heading2"/>
        <w:spacing w:after="80" w:before="240"/>
      </w:pPr>
      <w:r>
        <w:rPr>
          <w:rFonts w:ascii="Aptos" w:cs="Aptos" w:eastAsia="Aptos" w:hAnsi="Aptos"/>
          <w:b/>
          <w:bCs/>
          <w:color w:val="2E75B6"/>
          <w:sz w:val="24"/>
          <w:szCs w:val="24"/>
        </w:rPr>
        <w:t xml:space="preserve">15.4 Analyst Decisions</w:t>
      </w:r>
    </w:p>
    <w:p>
      <w:pPr>
        <w:spacing w:after="40" w:before="40"/>
        <w:keepLines/>
      </w:pPr>
      <w:r>
        <w:rPr>
          <w:rFonts w:ascii="Courier New" w:cs="Courier New" w:eastAsia="Courier New" w:hAnsi="Courier New"/>
          <w:sz w:val="18"/>
          <w:szCs w:val="18"/>
        </w:rPr>
        <w:t>decision_id     UUID PRIMARY KEY</w:t>
        <w:br/>
        <w:t>case_id         UUID NOT NULL REFERENCES cases(case_id)</w:t>
        <w:br/>
        <w:t>analyst_id      UUID NOT NULL REFERENCES users(user_id)</w:t>
        <w:br/>
        <w:t>decision_type   TEXT NOT NULL  -- refer | close | monitor | more_info</w:t>
        <w:br/>
        <w:t>rationale       TEXT           -- redacted free-text rationale; must not contain PII</w:t>
        <w:br/>
        <w:t>referral_status TEXT           -- pending | submitted | acknowledged</w:t>
        <w:br/>
        <w:t>created_at      TIMESTAMPTZ NOT NULL</w:t>
      </w:r>
    </w:p>
    <w:p>
      <w:pPr>
        <w:spacing w:before="80" w:after="80"/>
      </w:pPr>
      <w:r>
        <w:rPr>
          <w:rFonts w:ascii="Aptos" w:hAnsi="Aptos" w:eastAsia="Aptos" w:cs="Aptos"/>
          <w:b/>
          <w:sz w:val="20"/>
        </w:rPr>
        <w:t xml:space="preserve">Monitor decisions: </w:t>
      </w:r>
      <w:r>
        <w:rPr>
          <w:rFonts w:ascii="Aptos" w:hAnsi="Aptos" w:eastAsia="Aptos" w:cs="Aptos"/>
          <w:b w:val="0"/>
          <w:sz w:val="20"/>
        </w:rPr>
        <w:t>A monitor decision_type does not transition case status; the case remains in its current status (typically Under Review) and the analyst is expected to submit a follow-up decision -- refer, close, or more_info -- once monitoring is complete.</w:t>
      </w:r>
    </w:p>
    <w:p>
      <w:pPr>
        <w:pStyle w:val="Heading2"/>
        <w:spacing w:after="80" w:before="240"/>
      </w:pPr>
      <w:r>
        <w:rPr>
          <w:rFonts w:ascii="Aptos" w:cs="Aptos" w:eastAsia="Aptos" w:hAnsi="Aptos"/>
          <w:b/>
          <w:bCs/>
          <w:color w:val="2E75B6"/>
          <w:sz w:val="24"/>
          <w:szCs w:val="24"/>
        </w:rPr>
        <w:t xml:space="preserve">15.5 Audit Log</w:t>
      </w:r>
    </w:p>
    <w:p>
      <w:pPr>
        <w:spacing w:after="80" w:before="80"/>
      </w:pPr>
      <w:r>
        <w:rPr>
          <w:rFonts w:ascii="Aptos" w:cs="Aptos" w:eastAsia="Aptos" w:hAnsi="Aptos"/>
          <w:sz w:val="20"/>
          <w:szCs w:val="20"/>
        </w:rPr>
        <w:t xml:space="preserve">Append-only. Rows must never be updated or deleted by application code. Must not store raw conversation content or PII.</w:t>
      </w:r>
    </w:p>
    <w:p>
      <w:pPr>
        <w:spacing w:after="40" w:before="40"/>
        <w:keepLines/>
      </w:pPr>
      <w:r>
        <w:rPr>
          <w:rFonts w:ascii="Courier New" w:cs="Courier New" w:eastAsia="Courier New" w:hAnsi="Courier New"/>
          <w:sz w:val="18"/>
          <w:szCs w:val="18"/>
        </w:rPr>
        <w:t xml:space="preserve">audit_id        UUID PRIMARY KEY</w:t>
        <w:br/>
        <w:t xml:space="preserve">case_id         UUID           -- nullable for system events</w:t>
        <w:br/>
        <w:t xml:space="preserve">actor_id        UUID NOT NULL</w:t>
        <w:br/>
        <w:t xml:space="preserve">actor_role      TEXT NOT NULL</w:t>
        <w:br/>
        <w:t xml:space="preserve">event_type      TEXT NOT NULL  -- e.g. case_submitted, decision_recorded</w:t>
        <w:br/>
        <w:t xml:space="preserve">event_timestamp TIMESTAMPTZ NOT NULL</w:t>
        <w:br/>
        <w:t xml:space="preserve">request_id      UUID           -- links to distributed trace</w:t>
        <w:br/>
        <w:t xml:space="preserve">metadata_hash   TEXT           -- hash of event payload for integrity</w:t>
        <w:br/>
        <w:t xml:space="preserve">previous_hash   TEXT           -- hash of prior audit row for chain integrity</w:t>
      </w:r>
    </w:p>
    <w:p>
      <w:pPr>
        <w:pStyle w:val="Heading2"/>
        <w:spacing w:after="80" w:before="240"/>
      </w:pPr>
      <w:r>
        <w:rPr>
          <w:rFonts w:ascii="Aptos" w:cs="Aptos" w:eastAsia="Aptos" w:hAnsi="Aptos"/>
          <w:b/>
          <w:bCs/>
          <w:color w:val="2E75B6"/>
          <w:sz w:val="24"/>
          <w:szCs w:val="24"/>
        </w:rPr>
        <w:t xml:space="preserve">15.6 DLQ Error Metadata</w:t>
      </w:r>
    </w:p>
    <w:p>
      <w:pPr>
        <w:spacing w:after="80" w:before="80"/>
      </w:pPr>
      <w:r>
        <w:rPr>
          <w:rFonts w:ascii="Aptos" w:cs="Aptos" w:eastAsia="Aptos" w:hAnsi="Aptos"/>
          <w:sz w:val="20"/>
          <w:szCs w:val="20"/>
        </w:rPr>
        <w:t xml:space="preserve">Payload must never contain unredacted conversation content. Deleted after investigation; only this metadata row is retained.</w:t>
      </w:r>
    </w:p>
    <w:p>
      <w:pPr>
        <w:spacing w:after="40" w:before="40"/>
        <w:keepLines/>
      </w:pPr>
      <w:r>
        <w:rPr>
          <w:rFonts w:ascii="Courier New" w:cs="Courier New" w:eastAsia="Courier New" w:hAnsi="Courier New"/>
          <w:sz w:val="18"/>
          <w:szCs w:val="18"/>
        </w:rPr>
        <w:t>dlq_id              UUID PRIMARY KEY</w:t>
        <w:br/>
        <w:t>job_id              UUID NOT NULL REFERENCES analysis_jobs(job_id)</w:t>
        <w:br/>
        <w:t>case_id             UUID NOT NULL REFERENCES cases(case_id)</w:t>
        <w:br/>
        <w:t>failure_stage       TEXT NOT NULL  -- validation | preprocessing | inference | explainability</w:t>
        <w:br/>
        <w:t>error_category      TEXT NOT NULL  -- transient | permanent | resource | unknown</w:t>
        <w:br/>
        <w:t>attempt_count       INTEGER NOT NULL</w:t>
        <w:br/>
        <w:t>model_version       TEXT</w:t>
        <w:br/>
        <w:t>last_failure_at     TIMESTAMPTZ NOT NULL</w:t>
        <w:br/>
        <w:t>resolution_status   TEXT           -- investigating | redriven | closed</w:t>
      </w:r>
    </w:p>
    <w:p>
      <w:pPr>
        <w:pStyle w:val="Heading2"/>
        <w:spacing w:before="240" w:after="80"/>
      </w:pPr>
      <w:r>
        <w:rPr>
          <w:rFonts w:ascii="Aptos" w:hAnsi="Aptos" w:eastAsia="Aptos" w:cs="Aptos"/>
          <w:b/>
          <w:color w:val="2E75B6"/>
          <w:sz w:val="24"/>
        </w:rPr>
        <w:t>15.7 Conversations</w:t>
      </w:r>
    </w:p>
    <w:p>
      <w:pPr>
        <w:spacing w:before="80" w:after="80"/>
      </w:pPr>
      <w:r>
        <w:rPr>
          <w:rFonts w:ascii="Aptos" w:hAnsi="Aptos" w:eastAsia="Aptos" w:cs="Aptos"/>
          <w:b w:val="0"/>
          <w:sz w:val="20"/>
        </w:rPr>
        <w:t>Groups the messages of one continuous exchange. A case may contain one or more conversations (e.g. messages re-submitted later, or multiple chat threads in the same case).</w:t>
      </w:r>
    </w:p>
    <w:p>
      <w:pPr>
        <w:spacing w:before="40" w:after="40"/>
        <w:keepLines/>
      </w:pPr>
      <w:r>
        <w:rPr>
          <w:rFonts w:ascii="Courier New" w:hAnsi="Courier New" w:eastAsia="Courier New" w:cs="Courier New"/>
          <w:b w:val="0"/>
          <w:sz w:val="18"/>
        </w:rPr>
        <w:t>conversation_id      UUID PRIMARY KEY</w:t>
        <w:br/>
        <w:t>case_id              UUID NOT NULL REFERENCES cases(case_id)</w:t>
        <w:br/>
        <w:t>created_at           TIMESTAMPTZ NOT NULL</w:t>
        <w:br/>
        <w:br/>
        <w:t>UNIQUE (case_id, conversation_id)</w:t>
      </w:r>
    </w:p>
    <w:p>
      <w:pPr>
        <w:pStyle w:val="Heading2"/>
        <w:spacing w:before="240" w:after="80"/>
      </w:pPr>
      <w:r>
        <w:rPr>
          <w:rFonts w:ascii="Aptos" w:hAnsi="Aptos" w:eastAsia="Aptos" w:cs="Aptos"/>
          <w:b/>
          <w:color w:val="2E75B6"/>
          <w:sz w:val="24"/>
        </w:rPr>
        <w:t>15.8 Case Messages</w:t>
      </w:r>
    </w:p>
    <w:p>
      <w:pPr>
        <w:spacing w:before="80" w:after="80"/>
      </w:pPr>
      <w:r>
        <w:rPr>
          <w:rFonts w:ascii="Aptos" w:hAnsi="Aptos" w:eastAsia="Aptos" w:cs="Aptos"/>
          <w:b w:val="0"/>
          <w:sz w:val="20"/>
        </w:rPr>
        <w:t>One redacted message per row; rolling windows for AI analysis are built by querying (conversation_id, message_sequence) with a LIMIT, so no large blob is accumulated before processing begins.</w:t>
      </w:r>
    </w:p>
    <w:p>
      <w:pPr>
        <w:spacing w:before="40" w:after="40"/>
        <w:keepLines/>
      </w:pPr>
      <w:r>
        <w:rPr>
          <w:rFonts w:ascii="Courier New" w:hAnsi="Courier New" w:eastAsia="Courier New" w:cs="Courier New"/>
          <w:b w:val="0"/>
          <w:sz w:val="18"/>
        </w:rPr>
        <w:t>message_id           UUID PRIMARY KEY</w:t>
        <w:br/>
        <w:t>case_id              UUID NOT NULL</w:t>
        <w:br/>
        <w:t>conversation_id      UUID NOT NULL</w:t>
        <w:br/>
        <w:t>message_sequence     INTEGER NOT NULL  -- ordering within conversation</w:t>
        <w:br/>
        <w:t>speaker_local_id     TEXT NOT NULL  -- conversation-local anonymized identifier, e.g. SPEAKER_A</w:t>
        <w:br/>
        <w:t>redacted_content     TEXT  -- PII-stripped; NULL if fully suppressed</w:t>
        <w:br/>
        <w:t>redacted_at          TIMESTAMPTZ NOT NULL</w:t>
        <w:br/>
        <w:t>retention_until      DATE NOT NULL</w:t>
        <w:br/>
        <w:br/>
        <w:t>FOREIGN KEY (case_id, conversation_id)</w:t>
        <w:br/>
        <w:t xml:space="preserve">    REFERENCES conversations(case_id, conversation_id)</w:t>
        <w:br/>
        <w:t xml:space="preserve">    -- composite FK: guarantees case_id can never disagree with</w:t>
        <w:br/>
        <w:t xml:space="preserve">    -- conversation_id's own case, without an extra join</w:t>
        <w:br/>
        <w:t>CHECK (message_sequence &gt;= 0)</w:t>
        <w:br/>
        <w:t>UNIQUE (conversation_id, message_sequence)</w:t>
      </w:r>
    </w:p>
    <w:p>
      <w:pPr>
        <w:spacing w:before="80" w:after="80"/>
      </w:pPr>
      <w:r>
        <w:rPr>
          <w:rFonts w:ascii="Aptos" w:hAnsi="Aptos" w:eastAsia="Aptos" w:cs="Aptos"/>
          <w:b w:val="0"/>
          <w:sz w:val="20"/>
        </w:rPr>
        <w:t>Speaker identifiers are assigned only within the conversation and are not reused as persistent identities across cases or organizations.</w:t>
      </w:r>
    </w:p>
    <w:p>
      <w:pPr>
        <w:pStyle w:val="Heading2"/>
        <w:spacing w:before="240" w:after="80"/>
      </w:pPr>
      <w:r>
        <w:rPr>
          <w:rFonts w:ascii="Aptos" w:hAnsi="Aptos" w:eastAsia="Aptos" w:cs="Aptos"/>
          <w:b/>
          <w:color w:val="2E75B6"/>
          <w:sz w:val="24"/>
        </w:rPr>
        <w:t>15.9 Case Files</w:t>
      </w:r>
    </w:p>
    <w:p>
      <w:pPr>
        <w:spacing w:before="80" w:after="80"/>
      </w:pPr>
      <w:r>
        <w:rPr>
          <w:rFonts w:ascii="Aptos" w:hAnsi="Aptos" w:eastAsia="Aptos" w:cs="Aptos"/>
          <w:b w:val="0"/>
          <w:sz w:val="20"/>
        </w:rPr>
        <w:t>Stores references to case-scoped attachments and large case artifacts held in object storage; PostgreSQL never stores the file content itself. Model artifacts are not case-scoped and are tracked separately in the model_artifacts table (Section 15.10). storage_key follows {org_id}/{case_id}/{file_id}/{filename}, which scopes IAM and bucket policies to organization-level isolation — the prefix alone is not an authorization control.</w:t>
      </w:r>
    </w:p>
    <w:p>
      <w:pPr>
        <w:spacing w:before="40" w:after="40"/>
        <w:keepLines/>
      </w:pPr>
      <w:r>
        <w:rPr>
          <w:rFonts w:ascii="Courier New" w:hAnsi="Courier New" w:eastAsia="Courier New" w:cs="Courier New"/>
          <w:b w:val="0"/>
          <w:sz w:val="18"/>
        </w:rPr>
        <w:t>file_id              UUID PRIMARY KEY</w:t>
        <w:br/>
        <w:t>case_id              UUID NOT NULL REFERENCES cases(case_id)</w:t>
        <w:br/>
        <w:t>storage_key          TEXT NOT NULL UNIQUE  -- {org_id}/{case_id}/{file_id}/{filename}</w:t>
        <w:br/>
        <w:t>content_type         TEXT NOT NULL</w:t>
        <w:br/>
        <w:t>size_bytes           BIGINT NOT NULL</w:t>
        <w:br/>
        <w:t>checksum             TEXT NOT NULL  -- SHA-256, for integrity and deduplication</w:t>
        <w:br/>
        <w:t>redaction_status     TEXT NOT NULL</w:t>
        <w:br/>
        <w:t>created_at           TIMESTAMPTZ NOT NULL</w:t>
        <w:br/>
        <w:t>retention_until      DATE NOT NULL</w:t>
      </w:r>
    </w:p>
    <w:p>
      <w:pPr>
        <w:pStyle w:val="Heading2"/>
        <w:spacing w:before="240" w:after="80"/>
      </w:pPr>
      <w:r>
        <w:rPr>
          <w:rFonts w:ascii="Aptos" w:hAnsi="Aptos" w:eastAsia="Aptos" w:cs="Aptos"/>
          <w:b/>
          <w:color w:val="2E75B6"/>
          <w:sz w:val="24"/>
        </w:rPr>
        <w:t>15.10 Model Artifacts</w:t>
      </w:r>
    </w:p>
    <w:p>
      <w:pPr>
        <w:spacing w:before="80" w:after="80"/>
      </w:pPr>
      <w:r>
        <w:rPr>
          <w:rFonts w:ascii="Aptos" w:hAnsi="Aptos" w:eastAsia="Aptos" w:cs="Aptos"/>
          <w:b w:val="0"/>
          <w:sz w:val="20"/>
        </w:rPr>
        <w:t>Model weights and related training artifacts are not tied to any single case, so they are tracked in their own table rather than case_files. They use a separate artifacts/{model_version}/ prefix outside the per-case object storage hierarchy.</w:t>
      </w:r>
    </w:p>
    <w:p>
      <w:pPr>
        <w:spacing w:before="40" w:after="40"/>
        <w:keepLines/>
      </w:pPr>
      <w:r>
        <w:rPr>
          <w:rFonts w:ascii="Courier New" w:hAnsi="Courier New" w:eastAsia="Courier New" w:cs="Courier New"/>
          <w:b w:val="0"/>
          <w:sz w:val="18"/>
        </w:rPr>
        <w:t>artifact_id          UUID PRIMARY KEY</w:t>
        <w:br/>
        <w:t>model_version        TEXT NOT NULL</w:t>
        <w:br/>
        <w:t>storage_key          TEXT NOT NULL UNIQUE  -- artifacts/{model_version}/{filename}</w:t>
        <w:br/>
        <w:t>checksum             TEXT NOT NULL  -- SHA-256, for integrity and deduplication</w:t>
        <w:br/>
        <w:t>size_bytes           BIGINT NOT NULL</w:t>
        <w:br/>
        <w:t>created_at           TIMESTAMPTZ NOT NULL</w:t>
      </w:r>
    </w:p>
    <w:p>
      <w:pPr>
        <w:pStyle w:val="Heading2"/>
        <w:spacing w:before="240" w:after="80"/>
      </w:pPr>
      <w:r>
        <w:rPr>
          <w:rFonts w:ascii="Aptos" w:hAnsi="Aptos" w:eastAsia="Aptos" w:cs="Aptos"/>
          <w:b/>
          <w:color w:val="2E75B6"/>
          <w:sz w:val="24"/>
        </w:rPr>
        <w:t>15.11 Storage Technology Summary</w:t>
      </w:r>
    </w:p>
    <w:p>
      <w:pPr>
        <w:spacing w:before="80" w:after="80"/>
      </w:pPr>
      <w:r>
        <w:rPr>
          <w:rFonts w:ascii="Aptos" w:hAnsi="Aptos" w:eastAsia="Aptos" w:cs="Aptos"/>
          <w:b w:val="0"/>
          <w:sz w:val="20"/>
        </w:rPr>
        <w:t>PostgreSQL was selected over NoSQL, SQL Server, and SQLite as the system of record: native foreign keys, multi-table ACID transactions, and Row-Level Security fit the Cases → Jobs → Results → Decisions → Audit workflow better than document-store or embedded-file alternatives, at the cost of operating a database server.</w:t>
      </w:r>
    </w:p>
    <w:p>
      <w:pPr>
        <w:spacing w:before="80" w:after="80"/>
      </w:pPr>
      <w:r>
        <w:rPr>
          <w:rFonts w:ascii="Aptos" w:hAnsi="Aptos" w:eastAsia="Aptos" w:cs="Aptos"/>
          <w:b w:val="0"/>
          <w:sz w:val="20"/>
        </w:rPr>
        <w:t>Binary attachments, model artifacts, and any structured text or JSON exceeding a configurable 100 MB threshold are routed to object storage rather than the database, using multipart upload and lifecycle policies; PostgreSQL keeps only the case_files or model_artifacts reference row (Sections 15.9–15.10).</w:t>
      </w:r>
    </w:p>
    <w:p>
      <w:pPr>
        <w:spacing w:before="80" w:after="80"/>
      </w:pPr>
      <w:r>
        <w:rPr>
          <w:rFonts w:ascii="Aptos" w:hAnsi="Aptos" w:eastAsia="Aptos" w:cs="Aptos"/>
          <w:b w:val="0"/>
          <w:sz w:val="20"/>
        </w:rPr>
        <w:t>Redis or an in-memory HashMap holds only short-lived, rebuildable state — job status, rate limits, sessions, cache — and is never the sole copy of a case, decision, result, or audit event; a HashMap is a lookup structure, not a durable database.</w:t>
      </w:r>
    </w:p>
    <w:p>
      <w:pPr>
        <w:spacing w:before="80" w:after="80"/>
      </w:pPr>
      <w:r>
        <w:rPr>
          <w:rFonts w:ascii="Aptos" w:hAnsi="Aptos" w:eastAsia="Aptos" w:cs="Aptos"/>
          <w:b w:val="0"/>
          <w:sz w:val="20"/>
        </w:rPr>
        <w:t>PostgreSQL and object storage both require encryption at rest and least-privilege, IAM-scoped access in production; Redis requires TLS, AUTH, and a private network, and must never hold raw conversation content or PII. See the companion Final Database Storage Design and Technology Tradeoff Report for the full comparison and rationale.</w:t>
      </w:r>
    </w:p>
    <w:p>
      <w:pPr>
        <w:pStyle w:val="Heading2"/>
        <w:spacing w:before="240" w:after="80"/>
      </w:pPr>
      <w:r>
        <w:rPr>
          <w:rFonts w:ascii="Aptos" w:hAnsi="Aptos" w:eastAsia="Aptos" w:cs="Aptos"/>
          <w:b/>
          <w:color w:val="2E75B6"/>
          <w:sz w:val="24"/>
        </w:rPr>
        <w:t>15.12 Organizations</w:t>
      </w:r>
    </w:p>
    <w:p>
      <w:pPr>
        <w:spacing w:before="80" w:after="80"/>
      </w:pPr>
      <w:r>
        <w:rPr>
          <w:rFonts w:ascii="Aptos" w:hAnsi="Aptos" w:eastAsia="Aptos" w:cs="Aptos"/>
          <w:b w:val="0"/>
          <w:sz w:val="20"/>
        </w:rPr>
        <w:t>The tenant boundary enforced by Row-Level Security (Section 4) and by case/file storage-key prefixes (Section 3).</w:t>
      </w:r>
    </w:p>
    <w:p>
      <w:pPr>
        <w:spacing w:before="40" w:after="40"/>
        <w:keepLines/>
      </w:pPr>
      <w:r>
        <w:rPr>
          <w:rFonts w:ascii="Courier New" w:hAnsi="Courier New" w:eastAsia="Courier New" w:cs="Courier New"/>
          <w:b w:val="0"/>
          <w:sz w:val="18"/>
        </w:rPr>
        <w:t>organization_id      UUID PRIMARY KEY</w:t>
        <w:br/>
        <w:t>name                 TEXT NOT NULL</w:t>
        <w:br/>
        <w:t>created_at           TIMESTAMPTZ NOT NULL</w:t>
      </w:r>
    </w:p>
    <w:p>
      <w:pPr>
        <w:pStyle w:val="Heading2"/>
        <w:spacing w:before="240" w:after="80"/>
      </w:pPr>
      <w:r>
        <w:rPr>
          <w:rFonts w:ascii="Aptos" w:hAnsi="Aptos" w:eastAsia="Aptos" w:cs="Aptos"/>
          <w:b/>
          <w:color w:val="2E75B6"/>
          <w:sz w:val="24"/>
        </w:rPr>
        <w:t>15.13 Users</w:t>
      </w:r>
    </w:p>
    <w:p>
      <w:pPr>
        <w:spacing w:before="80" w:after="80"/>
      </w:pPr>
      <w:r>
        <w:rPr>
          <w:rFonts w:ascii="Aptos" w:hAnsi="Aptos" w:eastAsia="Aptos" w:cs="Aptos"/>
          <w:b w:val="0"/>
          <w:sz w:val="20"/>
        </w:rPr>
        <w:t>Every analyst, reviewer, and administrator account. role must be one of the values in Section 4.2's Recommended Roles table.</w:t>
      </w:r>
    </w:p>
    <w:p>
      <w:pPr>
        <w:spacing w:before="40" w:after="40"/>
        <w:keepLines/>
      </w:pPr>
      <w:r>
        <w:rPr>
          <w:rFonts w:ascii="Courier New" w:hAnsi="Courier New" w:eastAsia="Courier New" w:cs="Courier New"/>
          <w:b w:val="0"/>
          <w:sz w:val="18"/>
        </w:rPr>
        <w:t>user_id              UUID PRIMARY KEY</w:t>
        <w:br/>
        <w:t>organization_id      UUID NOT NULL REFERENCES organizations(organization_id)</w:t>
        <w:br/>
        <w:t>role                 TEXT NOT NULL  -- see Section 4.2 Recommended Roles</w:t>
        <w:br/>
        <w:t>email                TEXT NOT NULL UNIQUE</w:t>
        <w:br/>
        <w:t>created_at           TIMESTAMPTZ NOT NULL</w:t>
      </w:r>
    </w:p>
    <w:p>
      <w:pPr>
        <w:pStyle w:val="Heading2"/>
        <w:spacing w:before="240" w:after="80"/>
      </w:pPr>
      <w:r>
        <w:rPr>
          <w:rFonts w:ascii="Aptos" w:hAnsi="Aptos" w:eastAsia="Aptos" w:cs="Aptos"/>
          <w:b/>
          <w:color w:val="2E75B6"/>
          <w:sz w:val="24"/>
        </w:rPr>
        <w:t>15.14 Analysis Jobs</w:t>
      </w:r>
    </w:p>
    <w:p>
      <w:pPr>
        <w:spacing w:before="80" w:after="80"/>
      </w:pPr>
      <w:r>
        <w:rPr>
          <w:rFonts w:ascii="Aptos" w:hAnsi="Aptos" w:eastAsia="Aptos" w:cs="Aptos"/>
          <w:b w:val="0"/>
          <w:sz w:val="20"/>
        </w:rPr>
        <w:t>One row per asynchronous AI analysis run (Section 3's Durable Job Queue / AI Analysis Workers). dlq_error_metadata.job_id (Section 15.6) references this table.</w:t>
      </w:r>
    </w:p>
    <w:p>
      <w:pPr>
        <w:spacing w:before="40" w:after="40"/>
        <w:keepLines/>
      </w:pPr>
      <w:r>
        <w:rPr>
          <w:rFonts w:ascii="Courier New" w:hAnsi="Courier New" w:eastAsia="Courier New" w:cs="Courier New"/>
          <w:b w:val="0"/>
          <w:sz w:val="18"/>
        </w:rPr>
        <w:t>job_id                  UUID PRIMARY KEY</w:t>
        <w:br/>
        <w:t>case_id                 UUID NOT NULL REFERENCES cases(case_id)</w:t>
        <w:br/>
        <w:t>status                  TEXT NOT NULL  -- queued | running | succeeded | failed</w:t>
        <w:br/>
        <w:t>model_version           TEXT NOT NULL</w:t>
        <w:br/>
        <w:t>rule_version            TEXT NOT NULL</w:t>
        <w:br/>
        <w:t>preprocessing_version   TEXT NOT NULL</w:t>
        <w:br/>
        <w:t>attempt_count           INTEGER NOT NULL DEFAULT 0</w:t>
        <w:br/>
        <w:t>created_at              TIMESTAMPTZ NOT NULL</w:t>
        <w:br/>
        <w:t>updated_at              TIMESTAMPTZ NOT NULL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ptos" w:cs="Aptos" w:eastAsia="Aptos" w:hAnsi="Aptos"/>
      <w:b/>
      <w:bCs/>
      <w:sz w:val="28"/>
      <w:szCs w:val="28"/>
    </w:rPr>
  </w:style>
  <w:style w:type="paragraph" w:styleId="Heading2">
    <w:name w:val="Heading 2"/>
    <w:basedOn w:val="Normal"/>
    <w:next w:val="Normal"/>
    <w:qFormat/>
    <w:pPr>
      <w:spacing w:after="80" w:before="240"/>
      <w:outlineLvl w:val="1"/>
    </w:pPr>
    <w:rPr>
      <w:rFonts w:ascii="Aptos" w:cs="Aptos" w:eastAsia="Aptos" w:hAnsi="Aptos"/>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2026-06-19T17:17:43.925Z</dcterms:created>
  <dcterms:modified xsi:type="dcterms:W3CDTF">2026-06-19T17:17:43.925Z</dcterms:modified>
</cp:coreProperties>
</file>

<file path=docProps/custom.xml><?xml version="1.0" encoding="utf-8"?>
<Properties xmlns="http://schemas.openxmlformats.org/officeDocument/2006/custom-properties" xmlns:vt="http://schemas.openxmlformats.org/officeDocument/2006/docPropsVTypes"/>
</file>