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7365D"/>
          <w:sz w:val="40"/>
        </w:rPr>
        <w:t>Final Database Storage Design and Technology Tradeoff Report</w:t>
      </w:r>
    </w:p>
    <w:p>
      <w:pPr>
        <w:spacing w:after="160"/>
        <w:jc w:val="center"/>
      </w:pPr>
      <w:r>
        <w:rPr>
          <w:i/>
          <w:color w:val="4B4B4B"/>
          <w:sz w:val="21"/>
        </w:rPr>
        <w:t>Privacy-Preserving Conversation Risk Decision Support System</w:t>
      </w:r>
    </w:p>
    <w:tbl>
      <w:tblPr>
        <w:tblW w:type="auto" w:w="0"/>
        <w:jc w:val="center"/>
        <w:tblLook w:firstColumn="1" w:firstRow="1" w:lastColumn="0" w:lastRow="0" w:noHBand="0" w:noVBand="1" w:val="04A0"/>
      </w:tblPr>
      <w:tblGrid>
        <w:gridCol w:w="10282"/>
      </w:tblGrid>
      <w:tr>
        <w:tc>
          <w:tcPr>
            <w:tcW w:type="dxa" w:w="10282"/>
            <w:shd w:fill="EAF2F8"/>
            <w:tcMar>
              <w:top w:w="100" w:type="dxa"/>
              <w:start w:w="120" w:type="dxa"/>
              <w:bottom w:w="100" w:type="dxa"/>
              <w:end w:w="120" w:type="dxa"/>
            </w:tcMar>
          </w:tcPr>
          <w:p>
            <w:pPr>
              <w:spacing w:after="20"/>
            </w:pPr>
            <w:r>
              <w:rPr>
                <w:rFonts w:ascii="Aptos" w:hAnsi="Aptos" w:eastAsia="Aptos"/>
                <w:b/>
                <w:color w:val="1F4E79"/>
                <w:sz w:val="16"/>
              </w:rPr>
              <w:t xml:space="preserve">Final decision: </w:t>
            </w:r>
            <w:r>
              <w:rPr>
                <w:rFonts w:ascii="Aptos" w:hAnsi="Aptos" w:eastAsia="Aptos"/>
                <w:sz w:val="16"/>
              </w:rPr>
              <w:t>Use PostgreSQL as the system of record, object storage for large content, and Redis or an in-memory HashMap only for temporary cache and rebuildable state.</w:t>
            </w:r>
          </w:p>
        </w:tc>
      </w:tr>
    </w:tbl>
    <w:p>
      <w:pPr>
        <w:pStyle w:val="Heading1"/>
        <w:keepNext/>
      </w:pPr>
      <w:r>
        <w:t>Part I. Final Database Storage Design</w:t>
      </w:r>
    </w:p>
    <w:p>
      <w:r>
        <w:rPr>
          <w:rFonts w:ascii="Aptos" w:hAnsi="Aptos" w:eastAsia="Aptos"/>
          <w:color w:val="595959"/>
          <w:sz w:val="18"/>
        </w:rPr>
        <w:t xml:space="preserve">Note: This report supplements the External System Architecture and Production Readiness Design, Section 15 (Data Schema). That document defines the authoritative table schemas and case state machine; this report explains storage technology selection and tradeoffs.</w:t>
      </w:r>
    </w:p>
    <w:p>
      <w:r>
        <w:rPr>
          <w:b/>
        </w:rPr>
        <w:t xml:space="preserve">Design objective. </w:t>
      </w:r>
      <w:r>
        <w:t>Preserve transactional consistency, organization isolation, auditability, and privacy while preventing large files from causing database growth or inefficient reads.</w:t>
      </w:r>
    </w:p>
    <w:p>
      <w:pPr>
        <w:pStyle w:val="Heading2"/>
        <w:keepNext/>
      </w:pPr>
      <w:r>
        <w:t>1. Storage Responsibilities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AF7"/>
            <w:tcMar>
              <w:top w:w="65" w:type="dxa"/>
              <w:start w:w="80" w:type="dxa"/>
              <w:bottom w:w="65" w:type="dxa"/>
              <w:end w:w="80" w:type="dxa"/>
            </w:tcMar>
          </w:tcPr>
          <w:p>
            <w:pPr>
              <w:spacing w:after="20"/>
            </w:pPr>
            <w:r>
              <w:rPr>
                <w:rFonts w:ascii="Aptos" w:hAnsi="Aptos" w:eastAsia="Aptos"/>
                <w:b/>
                <w:sz w:val="16"/>
              </w:rPr>
              <w:t>Component</w:t>
            </w:r>
          </w:p>
        </w:tc>
        <w:tc>
          <w:tcPr>
            <w:tcW w:type="dxa" w:w="3427"/>
            <w:shd w:fill="D9EAF7"/>
            <w:tcMar>
              <w:top w:w="65" w:type="dxa"/>
              <w:start w:w="80" w:type="dxa"/>
              <w:bottom w:w="65" w:type="dxa"/>
              <w:end w:w="80" w:type="dxa"/>
            </w:tcMar>
          </w:tcPr>
          <w:p>
            <w:pPr>
              <w:spacing w:after="20"/>
            </w:pPr>
            <w:r>
              <w:rPr>
                <w:rFonts w:ascii="Aptos" w:hAnsi="Aptos" w:eastAsia="Aptos"/>
                <w:b/>
                <w:sz w:val="16"/>
              </w:rPr>
              <w:t>Stores</w:t>
            </w:r>
          </w:p>
        </w:tc>
        <w:tc>
          <w:tcPr>
            <w:tcW w:type="dxa" w:w="3427"/>
            <w:shd w:fill="D9EAF7"/>
            <w:tcMar>
              <w:top w:w="65" w:type="dxa"/>
              <w:start w:w="80" w:type="dxa"/>
              <w:bottom w:w="65" w:type="dxa"/>
              <w:end w:w="80" w:type="dxa"/>
            </w:tcMar>
          </w:tcPr>
          <w:p>
            <w:pPr>
              <w:spacing w:after="20"/>
            </w:pPr>
            <w:r>
              <w:rPr>
                <w:rFonts w:ascii="Aptos" w:hAnsi="Aptos" w:eastAsia="Aptos"/>
                <w:b/>
                <w:sz w:val="16"/>
              </w:rPr>
              <w:t>Why</w:t>
            </w:r>
          </w:p>
        </w:tc>
      </w:tr>
      <w:tr>
        <w:tc>
          <w:tcPr>
            <w:tcW w:type="dxa" w:w="3427"/>
            <w:tcMar>
              <w:top w:w="65" w:type="dxa"/>
              <w:start w:w="80" w:type="dxa"/>
              <w:bottom w:w="65" w:type="dxa"/>
              <w:end w:w="80" w:type="dxa"/>
            </w:tcMar>
            <w:vAlign w:val="center"/>
          </w:tcPr>
          <w:p>
            <w:pPr>
              <w:spacing w:after="20"/>
            </w:pPr>
            <w:r>
              <w:rPr>
                <w:rFonts w:ascii="Aptos" w:hAnsi="Aptos" w:eastAsia="Aptos"/>
                <w:sz w:val="16"/>
              </w:rPr>
              <w:t>PostgreSQL</w:t>
            </w:r>
          </w:p>
        </w:tc>
        <w:tc>
          <w:tcPr>
            <w:tcW w:type="dxa" w:w="3427"/>
            <w:tcMar>
              <w:top w:w="65" w:type="dxa"/>
              <w:start w:w="80" w:type="dxa"/>
              <w:bottom w:w="65" w:type="dxa"/>
              <w:end w:w="80" w:type="dxa"/>
            </w:tcMar>
            <w:vAlign w:val="center"/>
          </w:tcPr>
          <w:p>
            <w:pPr>
              <w:spacing w:after="20"/>
            </w:pPr>
            <w:r>
              <w:rPr>
                <w:rFonts w:ascii="Aptos" w:hAnsi="Aptos" w:eastAsia="Aptos"/>
                <w:sz w:val="16"/>
              </w:rPr>
              <w:t>Organizations, users, cases, redacted messages, jobs, results, decisions, audit and DLQ metadata</w:t>
            </w:r>
          </w:p>
        </w:tc>
        <w:tc>
          <w:tcPr>
            <w:tcW w:type="dxa" w:w="3427"/>
            <w:tcMar>
              <w:top w:w="65" w:type="dxa"/>
              <w:start w:w="80" w:type="dxa"/>
              <w:bottom w:w="65" w:type="dxa"/>
              <w:end w:w="80" w:type="dxa"/>
            </w:tcMar>
            <w:vAlign w:val="center"/>
          </w:tcPr>
          <w:p>
            <w:pPr>
              <w:spacing w:after="20"/>
            </w:pPr>
            <w:r>
              <w:rPr>
                <w:rFonts w:ascii="Aptos" w:hAnsi="Aptos" w:eastAsia="Aptos"/>
                <w:sz w:val="16"/>
              </w:rPr>
              <w:t>Foreign keys, ACID transactions, state-machine enforcement, Row-Level Security, and reliable concurrent access.</w:t>
            </w:r>
          </w:p>
        </w:tc>
      </w:tr>
      <w:tr>
        <w:tc>
          <w:tcPr>
            <w:tcW w:type="dxa" w:w="3427"/>
            <w:tcMar>
              <w:top w:w="65" w:type="dxa"/>
              <w:start w:w="80" w:type="dxa"/>
              <w:bottom w:w="65" w:type="dxa"/>
              <w:end w:w="80" w:type="dxa"/>
            </w:tcMar>
            <w:vAlign w:val="center"/>
          </w:tcPr>
          <w:p>
            <w:pPr>
              <w:spacing w:after="20"/>
            </w:pPr>
            <w:r>
              <w:rPr>
                <w:rFonts w:ascii="Aptos" w:hAnsi="Aptos" w:eastAsia="Aptos"/>
                <w:sz w:val="16"/>
              </w:rPr>
              <w:t>Object storage</w:t>
            </w:r>
          </w:p>
        </w:tc>
        <w:tc>
          <w:tcPr>
            <w:tcW w:type="dxa" w:w="3427"/>
            <w:tcMar>
              <w:top w:w="65" w:type="dxa"/>
              <w:start w:w="80" w:type="dxa"/>
              <w:bottom w:w="65" w:type="dxa"/>
              <w:end w:w="80" w:type="dxa"/>
            </w:tcMar>
            <w:vAlign w:val="center"/>
          </w:tcPr>
          <w:p>
            <w:pPr>
              <w:spacing w:after="20"/>
            </w:pPr>
            <w:r>
              <w:rPr>
                <w:rFonts w:ascii="Aptos" w:hAnsi="Aptos" w:eastAsia="Aptos"/>
                <w:sz w:val="16"/>
              </w:rPr>
              <w:t>Large JSON, PDF, image, audio/video, exports, datasets, and model artifacts</w:t>
            </w:r>
          </w:p>
        </w:tc>
        <w:tc>
          <w:tcPr>
            <w:tcW w:type="dxa" w:w="3427"/>
            <w:tcMar>
              <w:top w:w="65" w:type="dxa"/>
              <w:start w:w="80" w:type="dxa"/>
              <w:bottom w:w="65" w:type="dxa"/>
              <w:end w:w="80" w:type="dxa"/>
            </w:tcMar>
            <w:vAlign w:val="center"/>
          </w:tcPr>
          <w:p>
            <w:pPr>
              <w:spacing w:after="20"/>
            </w:pPr>
            <w:r>
              <w:rPr>
                <w:rFonts w:ascii="Aptos" w:hAnsi="Aptos" w:eastAsia="Aptos"/>
                <w:sz w:val="16"/>
              </w:rPr>
              <w:t>Low-cost scalable objects, multipart upload, streaming, versioning, and lifecycle deletion.</w:t>
            </w:r>
          </w:p>
        </w:tc>
      </w:tr>
      <w:tr>
        <w:tc>
          <w:tcPr>
            <w:tcW w:type="dxa" w:w="3427"/>
            <w:tcMar>
              <w:top w:w="65" w:type="dxa"/>
              <w:start w:w="80" w:type="dxa"/>
              <w:bottom w:w="65" w:type="dxa"/>
              <w:end w:w="80" w:type="dxa"/>
            </w:tcMar>
            <w:vAlign w:val="center"/>
          </w:tcPr>
          <w:p>
            <w:pPr>
              <w:spacing w:after="20"/>
            </w:pPr>
            <w:r>
              <w:rPr>
                <w:rFonts w:ascii="Aptos" w:hAnsi="Aptos" w:eastAsia="Aptos"/>
                <w:sz w:val="16"/>
              </w:rPr>
              <w:t>Redis / HashMap</w:t>
            </w:r>
          </w:p>
        </w:tc>
        <w:tc>
          <w:tcPr>
            <w:tcW w:type="dxa" w:w="3427"/>
            <w:tcMar>
              <w:top w:w="65" w:type="dxa"/>
              <w:start w:w="80" w:type="dxa"/>
              <w:bottom w:w="65" w:type="dxa"/>
              <w:end w:w="80" w:type="dxa"/>
            </w:tcMar>
            <w:vAlign w:val="center"/>
          </w:tcPr>
          <w:p>
            <w:pPr>
              <w:spacing w:after="20"/>
            </w:pPr>
            <w:r>
              <w:rPr>
                <w:rFonts w:ascii="Aptos" w:hAnsi="Aptos" w:eastAsia="Aptos"/>
                <w:sz w:val="16"/>
              </w:rPr>
              <w:t>Short-lived job status, rate limits, sessions, and cache</w:t>
            </w:r>
          </w:p>
        </w:tc>
        <w:tc>
          <w:tcPr>
            <w:tcW w:type="dxa" w:w="3427"/>
            <w:tcMar>
              <w:top w:w="65" w:type="dxa"/>
              <w:start w:w="80" w:type="dxa"/>
              <w:bottom w:w="65" w:type="dxa"/>
              <w:end w:w="80" w:type="dxa"/>
            </w:tcMar>
            <w:vAlign w:val="center"/>
          </w:tcPr>
          <w:p>
            <w:pPr>
              <w:spacing w:after="20"/>
            </w:pPr>
            <w:r>
              <w:rPr>
                <w:rFonts w:ascii="Aptos" w:hAnsi="Aptos" w:eastAsia="Aptos"/>
                <w:sz w:val="16"/>
              </w:rPr>
              <w:t>Fast lookup for disposable data; never the only copy of a case, decision, result, or audit event.</w:t>
            </w:r>
          </w:p>
        </w:tc>
      </w:tr>
    </w:tbl>
    <w:p>
      <w:pPr>
        <w:pStyle w:val="Heading2"/>
        <w:keepNext/>
      </w:pPr>
      <w:r>
        <w:t>2. Large-Content Rule</w:t>
      </w:r>
    </w:p>
    <w:p>
      <w:pPr>
        <w:pStyle w:val="ListBullet"/>
        <w:spacing w:after="30"/>
      </w:pPr>
      <w:r>
        <w:t>Binary attachments, including PDF, image, audio, and video, and model artifacts are stored in object storage regardless of size. Structured text or JSON files larger than the configurable 100 MB threshold are also routed to object storage. The threshold is an operational rule, not a PostgreSQL hard limit.</w:t>
      </w:r>
    </w:p>
    <w:p>
      <w:pPr>
        <w:pStyle w:val="ListBullet"/>
        <w:spacing w:after="30"/>
      </w:pPr>
      <w:r>
        <w:t>PostgreSQL stores only file_id, case_id, storage_key, content type, size, checksum, redaction status, and retention metadata.</w:t>
      </w:r>
    </w:p>
    <w:p>
      <w:pPr>
        <w:pStyle w:val="ListBullet"/>
        <w:spacing w:after="30"/>
      </w:pPr>
      <w:r>
        <w:t>Use object-storage multipart upload instead of writing binary chunks into database rows.</w:t>
      </w:r>
    </w:p>
    <w:p>
      <w:pPr>
        <w:pStyle w:val="ListBullet"/>
        <w:spacing w:after="30"/>
      </w:pPr>
      <w:r>
        <w:t>For conversations, store one redacted message per row and build rolling windows by message sequence; do not wait for the conversation to reach 100 MB.</w:t>
      </w:r>
    </w:p>
    <w:p>
      <w:pPr>
        <w:pStyle w:val="Heading2"/>
        <w:keepNext/>
      </w:pPr>
      <w:r>
        <w:t>3. Core Data Model and Controls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AF7"/>
            <w:tcMar>
              <w:top w:w="65" w:type="dxa"/>
              <w:start w:w="80" w:type="dxa"/>
              <w:bottom w:w="65" w:type="dxa"/>
              <w:end w:w="80" w:type="dxa"/>
            </w:tcMar>
          </w:tcPr>
          <w:p>
            <w:pPr>
              <w:spacing w:after="20"/>
            </w:pPr>
            <w:r>
              <w:rPr>
                <w:rFonts w:ascii="Aptos" w:hAnsi="Aptos" w:eastAsia="Aptos"/>
                <w:b/>
                <w:sz w:val="16"/>
              </w:rPr>
              <w:t>Area</w:t>
            </w:r>
          </w:p>
        </w:tc>
        <w:tc>
          <w:tcPr>
            <w:tcW w:type="dxa" w:w="5141"/>
            <w:shd w:fill="D9EAF7"/>
            <w:tcMar>
              <w:top w:w="65" w:type="dxa"/>
              <w:start w:w="80" w:type="dxa"/>
              <w:bottom w:w="65" w:type="dxa"/>
              <w:end w:w="80" w:type="dxa"/>
            </w:tcMar>
          </w:tcPr>
          <w:p>
            <w:pPr>
              <w:spacing w:after="20"/>
            </w:pPr>
            <w:r>
              <w:rPr>
                <w:rFonts w:ascii="Aptos" w:hAnsi="Aptos" w:eastAsia="Aptos"/>
                <w:b/>
                <w:sz w:val="16"/>
              </w:rPr>
              <w:t>Final design</w:t>
            </w:r>
          </w:p>
        </w:tc>
      </w:tr>
      <w:tr>
        <w:tc>
          <w:tcPr>
            <w:tcW w:type="dxa" w:w="5141"/>
            <w:tcMar>
              <w:top w:w="65" w:type="dxa"/>
              <w:start w:w="80" w:type="dxa"/>
              <w:bottom w:w="65" w:type="dxa"/>
              <w:end w:w="80" w:type="dxa"/>
            </w:tcMar>
            <w:vAlign w:val="center"/>
          </w:tcPr>
          <w:p>
            <w:pPr>
              <w:spacing w:after="20"/>
            </w:pPr>
            <w:r>
              <w:rPr>
                <w:rFonts w:ascii="Aptos" w:hAnsi="Aptos" w:eastAsia="Aptos"/>
                <w:sz w:val="16"/>
              </w:rPr>
              <w:t>Core tables</w:t>
            </w:r>
          </w:p>
        </w:tc>
        <w:tc>
          <w:tcPr>
            <w:tcW w:type="dxa" w:w="5141"/>
            <w:tcMar>
              <w:top w:w="65" w:type="dxa"/>
              <w:start w:w="80" w:type="dxa"/>
              <w:bottom w:w="65" w:type="dxa"/>
              <w:end w:w="80" w:type="dxa"/>
            </w:tcMar>
            <w:vAlign w:val="center"/>
          </w:tcPr>
          <w:p>
            <w:pPr>
              <w:spacing w:after="20"/>
            </w:pPr>
            <w:r>
              <w:rPr>
                <w:rFonts w:ascii="Aptos" w:hAnsi="Aptos" w:eastAsia="Aptos"/>
                <w:sz w:val="16"/>
              </w:rPr>
              <w:t>organizations, users/memberships, cases, case_messages, analysis_jobs, results/signals, analyst_decisions, audit_log, dlq_error_metadata, case_files</w:t>
            </w:r>
          </w:p>
        </w:tc>
      </w:tr>
      <w:tr>
        <w:tc>
          <w:tcPr>
            <w:tcW w:type="dxa" w:w="5141"/>
            <w:tcMar>
              <w:top w:w="65" w:type="dxa"/>
              <w:start w:w="80" w:type="dxa"/>
              <w:bottom w:w="65" w:type="dxa"/>
              <w:end w:w="80" w:type="dxa"/>
            </w:tcMar>
            <w:vAlign w:val="center"/>
          </w:tcPr>
          <w:p>
            <w:pPr>
              <w:spacing w:after="20"/>
            </w:pPr>
            <w:r>
              <w:rPr>
                <w:rFonts w:ascii="Aptos" w:hAnsi="Aptos" w:eastAsia="Aptos"/>
                <w:sz w:val="16"/>
              </w:rPr>
              <w:t>Case workflow</w:t>
            </w:r>
          </w:p>
        </w:tc>
        <w:tc>
          <w:tcPr>
            <w:tcW w:type="dxa" w:w="5141"/>
            <w:tcMar>
              <w:top w:w="65" w:type="dxa"/>
              <w:start w:w="80" w:type="dxa"/>
              <w:bottom w:w="65" w:type="dxa"/>
              <w:end w:w="80" w:type="dxa"/>
            </w:tcMar>
            <w:vAlign w:val="center"/>
          </w:tcPr>
          <w:p>
            <w:pPr>
              <w:spacing w:after="20"/>
            </w:pPr>
            <w:r>
              <w:rPr>
                <w:rFonts w:ascii="Aptos" w:hAnsi="Aptos" w:eastAsia="Aptos"/>
                <w:sz w:val="16"/>
              </w:rPr>
              <w:t>TEXT + CHECK constraint for valid state values; BEFORE UPDATE trigger enforces allowed transitions and raises an exception on invalid state changes, causing the transaction to roll back.</w:t>
            </w:r>
          </w:p>
        </w:tc>
      </w:tr>
      <w:tr>
        <w:tc>
          <w:tcPr>
            <w:tcW w:type="dxa" w:w="5141"/>
            <w:tcMar>
              <w:top w:w="65" w:type="dxa"/>
              <w:start w:w="80" w:type="dxa"/>
              <w:bottom w:w="65" w:type="dxa"/>
              <w:end w:w="80" w:type="dxa"/>
            </w:tcMar>
            <w:vAlign w:val="center"/>
          </w:tcPr>
          <w:p>
            <w:pPr>
              <w:spacing w:after="20"/>
            </w:pPr>
            <w:r>
              <w:rPr>
                <w:rFonts w:ascii="Aptos" w:hAnsi="Aptos" w:eastAsia="Aptos"/>
                <w:sz w:val="16"/>
              </w:rPr>
              <w:t>Security</w:t>
            </w:r>
          </w:p>
        </w:tc>
        <w:tc>
          <w:tcPr>
            <w:tcW w:type="dxa" w:w="5141"/>
            <w:tcMar>
              <w:top w:w="65" w:type="dxa"/>
              <w:start w:w="80" w:type="dxa"/>
              <w:bottom w:w="65" w:type="dxa"/>
              <w:end w:w="80" w:type="dxa"/>
            </w:tcMar>
            <w:vAlign w:val="center"/>
          </w:tcPr>
          <w:p>
            <w:pPr>
              <w:spacing w:after="20"/>
            </w:pPr>
            <w:r>
              <w:rPr>
                <w:rFonts w:ascii="Aptos" w:hAnsi="Aptos" w:eastAsia="Aptos"/>
                <w:sz w:val="16"/>
              </w:rPr>
              <w:t>RBAC in the API plus PostgreSQL Row-Level Security for organization isolation.</w:t>
            </w:r>
          </w:p>
        </w:tc>
      </w:tr>
      <w:tr>
        <w:tc>
          <w:tcPr>
            <w:tcW w:type="dxa" w:w="5141"/>
            <w:tcMar>
              <w:top w:w="65" w:type="dxa"/>
              <w:start w:w="80" w:type="dxa"/>
              <w:bottom w:w="65" w:type="dxa"/>
              <w:end w:w="80" w:type="dxa"/>
            </w:tcMar>
            <w:vAlign w:val="center"/>
          </w:tcPr>
          <w:p>
            <w:pPr>
              <w:spacing w:after="20"/>
            </w:pPr>
            <w:r>
              <w:rPr>
                <w:rFonts w:ascii="Aptos" w:hAnsi="Aptos" w:eastAsia="Aptos"/>
                <w:sz w:val="16"/>
              </w:rPr>
              <w:t>Audit</w:t>
            </w:r>
          </w:p>
        </w:tc>
        <w:tc>
          <w:tcPr>
            <w:tcW w:type="dxa" w:w="5141"/>
            <w:tcMar>
              <w:top w:w="65" w:type="dxa"/>
              <w:start w:w="80" w:type="dxa"/>
              <w:bottom w:w="65" w:type="dxa"/>
              <w:end w:w="80" w:type="dxa"/>
            </w:tcMar>
            <w:vAlign w:val="center"/>
          </w:tcPr>
          <w:p>
            <w:pPr>
              <w:spacing w:after="20"/>
            </w:pPr>
            <w:r>
              <w:rPr>
                <w:rFonts w:ascii="Aptos" w:hAnsi="Aptos" w:eastAsia="Aptos"/>
                <w:sz w:val="16"/>
              </w:rPr>
              <w:t>Insert-only application permissions, integrity hashes, metadata only; no raw conversation text or PII.</w:t>
            </w:r>
          </w:p>
        </w:tc>
      </w:tr>
      <w:tr>
        <w:tc>
          <w:tcPr>
            <w:tcW w:type="dxa" w:w="5141"/>
            <w:tcMar>
              <w:top w:w="65" w:type="dxa"/>
              <w:start w:w="80" w:type="dxa"/>
              <w:bottom w:w="65" w:type="dxa"/>
              <w:end w:w="80" w:type="dxa"/>
            </w:tcMar>
            <w:vAlign w:val="center"/>
          </w:tcPr>
          <w:p>
            <w:pPr>
              <w:spacing w:after="20"/>
            </w:pPr>
            <w:r>
              <w:rPr>
                <w:rFonts w:ascii="Aptos" w:hAnsi="Aptos" w:eastAsia="Aptos"/>
                <w:sz w:val="16"/>
              </w:rPr>
              <w:t>Retention</w:t>
            </w:r>
          </w:p>
        </w:tc>
        <w:tc>
          <w:tcPr>
            <w:tcW w:type="dxa" w:w="5141"/>
            <w:tcMar>
              <w:top w:w="65" w:type="dxa"/>
              <w:start w:w="80" w:type="dxa"/>
              <w:bottom w:w="65" w:type="dxa"/>
              <w:end w:w="80" w:type="dxa"/>
            </w:tcMar>
            <w:vAlign w:val="center"/>
          </w:tcPr>
          <w:p>
            <w:pPr>
              <w:spacing w:after="20"/>
            </w:pPr>
            <w:r>
              <w:rPr>
                <w:rFonts w:ascii="Aptos" w:hAnsi="Aptos" w:eastAsia="Aptos"/>
                <w:sz w:val="16"/>
              </w:rPr>
              <w:t>Delete expired redacted content unless hold_status is active; preserve required decision and audit metadata.</w:t>
            </w:r>
          </w:p>
        </w:tc>
      </w:tr>
    </w:tbl>
    <w:p>
      <w:pPr>
        <w:pStyle w:val="Heading2"/>
        <w:keepNext/>
      </w:pPr>
      <w:r>
        <w:t>3a. case_messages Row Design</w:t>
      </w:r>
    </w:p>
    <w:p>
      <w:r>
        <w:rPr>
          <w:rFonts w:ascii="Aptos" w:hAnsi="Aptos" w:eastAsia="Aptos"/>
          <w:sz w:val="18"/>
        </w:rPr>
        <w:t xml:space="preserve">Section 2 specifies one redacted message per row with rolling windows built by message sequence. The following minimum columns support that design:</w:t>
      </w:r>
    </w:p>
    <w:p>
      <w:r>
        <w:rPr>
          <w:rFonts w:ascii="Courier New" w:hAnsi="Courier New" w:eastAsia="Courier New" w:cs="Courier New"/>
          <w:sz w:val="16"/>
        </w:rPr>
        <w:t xml:space="preserve">message_id          UUID PRIMARY KEY</w:t>
        <w:br/>
        <w:t xml:space="preserve">case_id             UUID NOT NULL</w:t>
        <w:br/>
        <w:t xml:space="preserve">conversation_id     UUID NOT NULL   -- groups messages in the same conversation</w:t>
        <w:br/>
        <w:t xml:space="preserve">message_sequence    INTEGER NOT NULL -- ordering within conversation</w:t>
        <w:br/>
        <w:t xml:space="preserve">speaker_local_id    TEXT NOT NULL    -- window-local anonymized identifier, e.g. SPEAKER_A</w:t>
        <w:br/>
        <w:t xml:space="preserve">redacted_content    TEXT            -- PII-stripped; NULL if fully suppressed</w:t>
        <w:br/>
        <w:t xml:space="preserve">redacted_at         TIMESTAMPTZ NOT NULL</w:t>
        <w:br/>
        <w:t xml:space="preserve">retention_until     DATE NOT NULL</w:t>
        <w:br/>
        <w:t xml:space="preserve">FOREIGN KEY (case_id, conversation_id) REFERENCES conversations(case_id, conversation_id)  -- composite FK, matching Section 15.8</w:t>
        <w:br/>
        <w:br/>
        <w:t xml:space="preserve">CHECK (message_sequence &gt;= 0)</w:t>
        <w:br/>
        <w:t xml:space="preserve">UNIQUE (conversation_id, message_sequence)</w:t>
      </w:r>
    </w:p>
    <w:p>
      <w:r>
        <w:rPr>
          <w:rFonts w:ascii="Aptos" w:hAnsi="Aptos" w:eastAsia="Aptos"/>
          <w:sz w:val="18"/>
        </w:rPr>
        <w:t xml:space="preserve">Rolling windows for AI analysis are built by querying on (conversation_id, message_sequence) with a LIMIT; no large JSON blob is accumulated before processing begins.</w:t>
      </w:r>
    </w:p>
    <w:p>
      <w:pPr>
        <w:pStyle w:val="Heading2"/>
        <w:keepNext/>
      </w:pPr>
      <w:r>
        <w:t>3b. Object Storage Key Scheme</w:t>
      </w:r>
    </w:p>
    <w:p>
      <w:r>
        <w:rPr>
          <w:rFonts w:ascii="Aptos" w:hAnsi="Aptos" w:eastAsia="Aptos"/>
          <w:sz w:val="18"/>
        </w:rPr>
        <w:t xml:space="preserve">The storage_key recorded in PostgreSQL must follow a structured format that encodes organization isolation and enables lifecycle policies:</w:t>
      </w:r>
    </w:p>
    <w:p>
      <w:r>
        <w:rPr>
          <w:rFonts w:ascii="Courier New" w:hAnsi="Courier New" w:eastAsia="Courier New" w:cs="Courier New"/>
          <w:sz w:val="16"/>
        </w:rPr>
        <w:t xml:space="preserve">{org_id}/{case_id}/{file_id}/{filename}</w:t>
      </w:r>
    </w:p>
    <w:p>
      <w:r>
        <w:rPr>
          <w:rFonts w:ascii="Aptos" w:hAnsi="Aptos" w:eastAsia="Aptos"/>
          <w:sz w:val="18"/>
        </w:rPr>
        <w:t xml:space="preserve">The organization-prefixed key structure prevents accidental naming collisions and enables IAM and bucket policies to enforce organization-level isolation. The prefix alone is not an authorization control; IAM policies and application authorization together perform actual access enforcement. Model artifacts use a separate prefix (e.g. artifacts/{model_version}/) outside the per-case hierarchy.</w:t>
      </w:r>
    </w:p>
    <w:p>
      <w:r>
        <w:br w:type="page"/>
      </w:r>
    </w:p>
    <w:p>
      <w:pPr>
        <w:pStyle w:val="Heading1"/>
        <w:keepNext/>
      </w:pPr>
      <w:r>
        <w:t>Part II. Technology Tradeoff Report</w:t>
      </w:r>
    </w:p>
    <w:p>
      <w:pPr>
        <w:pStyle w:val="Heading2"/>
        <w:keepNext/>
      </w:pPr>
      <w:r>
        <w:t>1. Relational Database vs. NoSQL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AF7"/>
            <w:tcMar>
              <w:top w:w="65" w:type="dxa"/>
              <w:start w:w="80" w:type="dxa"/>
              <w:bottom w:w="65" w:type="dxa"/>
              <w:end w:w="80" w:type="dxa"/>
            </w:tcMar>
          </w:tcPr>
          <w:p>
            <w:pPr>
              <w:spacing w:after="20"/>
            </w:pPr>
            <w:r>
              <w:rPr>
                <w:rFonts w:ascii="Aptos" w:hAnsi="Aptos" w:eastAsia="Aptos"/>
                <w:b/>
                <w:sz w:val="16"/>
              </w:rPr>
              <w:t>Criterion</w:t>
            </w:r>
          </w:p>
        </w:tc>
        <w:tc>
          <w:tcPr>
            <w:tcW w:type="dxa" w:w="3427"/>
            <w:shd w:fill="D9EAF7"/>
            <w:tcMar>
              <w:top w:w="65" w:type="dxa"/>
              <w:start w:w="80" w:type="dxa"/>
              <w:bottom w:w="65" w:type="dxa"/>
              <w:end w:w="80" w:type="dxa"/>
            </w:tcMar>
          </w:tcPr>
          <w:p>
            <w:pPr>
              <w:spacing w:after="20"/>
            </w:pPr>
            <w:r>
              <w:rPr>
                <w:rFonts w:ascii="Aptos" w:hAnsi="Aptos" w:eastAsia="Aptos"/>
                <w:b/>
                <w:sz w:val="16"/>
              </w:rPr>
              <w:t>Relational database</w:t>
            </w:r>
          </w:p>
        </w:tc>
        <w:tc>
          <w:tcPr>
            <w:tcW w:type="dxa" w:w="3427"/>
            <w:shd w:fill="D9EAF7"/>
            <w:tcMar>
              <w:top w:w="65" w:type="dxa"/>
              <w:start w:w="80" w:type="dxa"/>
              <w:bottom w:w="65" w:type="dxa"/>
              <w:end w:w="80" w:type="dxa"/>
            </w:tcMar>
          </w:tcPr>
          <w:p>
            <w:pPr>
              <w:spacing w:after="20"/>
            </w:pPr>
            <w:r>
              <w:rPr>
                <w:rFonts w:ascii="Aptos" w:hAnsi="Aptos" w:eastAsia="Aptos"/>
                <w:b/>
                <w:sz w:val="16"/>
              </w:rPr>
              <w:t>NoSQL</w:t>
            </w:r>
          </w:p>
        </w:tc>
      </w:tr>
      <w:tr>
        <w:tc>
          <w:tcPr>
            <w:tcW w:type="dxa" w:w="3427"/>
            <w:tcMar>
              <w:top w:w="65" w:type="dxa"/>
              <w:start w:w="80" w:type="dxa"/>
              <w:bottom w:w="65" w:type="dxa"/>
              <w:end w:w="80" w:type="dxa"/>
            </w:tcMar>
            <w:vAlign w:val="center"/>
          </w:tcPr>
          <w:p>
            <w:pPr>
              <w:spacing w:after="20"/>
            </w:pPr>
            <w:r>
              <w:rPr>
                <w:rFonts w:ascii="Aptos" w:hAnsi="Aptos" w:eastAsia="Aptos"/>
                <w:sz w:val="16"/>
              </w:rPr>
              <w:t>Integrity</w:t>
            </w:r>
          </w:p>
        </w:tc>
        <w:tc>
          <w:tcPr>
            <w:tcW w:type="dxa" w:w="3427"/>
            <w:tcMar>
              <w:top w:w="65" w:type="dxa"/>
              <w:start w:w="80" w:type="dxa"/>
              <w:bottom w:w="65" w:type="dxa"/>
              <w:end w:w="80" w:type="dxa"/>
            </w:tcMar>
            <w:vAlign w:val="center"/>
          </w:tcPr>
          <w:p>
            <w:pPr>
              <w:spacing w:after="20"/>
            </w:pPr>
            <w:r>
              <w:rPr>
                <w:rFonts w:ascii="Aptos" w:hAnsi="Aptos" w:eastAsia="Aptos"/>
                <w:sz w:val="16"/>
              </w:rPr>
              <w:t>Foreign keys, checks, and multi-table transactions are native.</w:t>
            </w:r>
          </w:p>
        </w:tc>
        <w:tc>
          <w:tcPr>
            <w:tcW w:type="dxa" w:w="3427"/>
            <w:tcMar>
              <w:top w:w="65" w:type="dxa"/>
              <w:start w:w="80" w:type="dxa"/>
              <w:bottom w:w="65" w:type="dxa"/>
              <w:end w:w="80" w:type="dxa"/>
            </w:tcMar>
            <w:vAlign w:val="center"/>
          </w:tcPr>
          <w:p>
            <w:pPr>
              <w:spacing w:after="20"/>
            </w:pPr>
            <w:r>
              <w:rPr>
                <w:rFonts w:ascii="Aptos" w:hAnsi="Aptos" w:eastAsia="Aptos"/>
                <w:sz w:val="16"/>
              </w:rPr>
              <w:t>Often relies more heavily on application validation and duplicated data.</w:t>
            </w:r>
          </w:p>
        </w:tc>
      </w:tr>
      <w:tr>
        <w:tc>
          <w:tcPr>
            <w:tcW w:type="dxa" w:w="3427"/>
            <w:tcMar>
              <w:top w:w="65" w:type="dxa"/>
              <w:start w:w="80" w:type="dxa"/>
              <w:bottom w:w="65" w:type="dxa"/>
              <w:end w:w="80" w:type="dxa"/>
            </w:tcMar>
            <w:vAlign w:val="center"/>
          </w:tcPr>
          <w:p>
            <w:pPr>
              <w:spacing w:after="20"/>
            </w:pPr>
            <w:r>
              <w:rPr>
                <w:rFonts w:ascii="Aptos" w:hAnsi="Aptos" w:eastAsia="Aptos"/>
                <w:sz w:val="16"/>
              </w:rPr>
              <w:t>Workflow fit</w:t>
            </w:r>
          </w:p>
        </w:tc>
        <w:tc>
          <w:tcPr>
            <w:tcW w:type="dxa" w:w="3427"/>
            <w:tcMar>
              <w:top w:w="65" w:type="dxa"/>
              <w:start w:w="80" w:type="dxa"/>
              <w:bottom w:w="65" w:type="dxa"/>
              <w:end w:w="80" w:type="dxa"/>
            </w:tcMar>
            <w:vAlign w:val="center"/>
          </w:tcPr>
          <w:p>
            <w:pPr>
              <w:spacing w:after="20"/>
            </w:pPr>
            <w:r>
              <w:rPr>
                <w:rFonts w:ascii="Aptos" w:hAnsi="Aptos" w:eastAsia="Aptos"/>
                <w:sz w:val="16"/>
              </w:rPr>
              <w:t>Strong fit for Cases → Jobs → Results → Decisions → Audit.</w:t>
            </w:r>
          </w:p>
        </w:tc>
        <w:tc>
          <w:tcPr>
            <w:tcW w:type="dxa" w:w="3427"/>
            <w:tcMar>
              <w:top w:w="65" w:type="dxa"/>
              <w:start w:w="80" w:type="dxa"/>
              <w:bottom w:w="65" w:type="dxa"/>
              <w:end w:w="80" w:type="dxa"/>
            </w:tcMar>
            <w:vAlign w:val="center"/>
          </w:tcPr>
          <w:p>
            <w:pPr>
              <w:spacing w:after="20"/>
            </w:pPr>
            <w:r>
              <w:rPr>
                <w:rFonts w:ascii="Aptos" w:hAnsi="Aptos" w:eastAsia="Aptos"/>
                <w:sz w:val="16"/>
              </w:rPr>
              <w:t>Strong fit for simple key access, variable documents, and extreme distributed ingestion.</w:t>
            </w:r>
          </w:p>
        </w:tc>
      </w:tr>
      <w:tr>
        <w:tc>
          <w:tcPr>
            <w:tcW w:type="dxa" w:w="3427"/>
            <w:tcMar>
              <w:top w:w="65" w:type="dxa"/>
              <w:start w:w="80" w:type="dxa"/>
              <w:bottom w:w="65" w:type="dxa"/>
              <w:end w:w="80" w:type="dxa"/>
            </w:tcMar>
            <w:vAlign w:val="center"/>
          </w:tcPr>
          <w:p>
            <w:pPr>
              <w:spacing w:after="20"/>
            </w:pPr>
            <w:r>
              <w:rPr>
                <w:rFonts w:ascii="Aptos" w:hAnsi="Aptos" w:eastAsia="Aptos"/>
                <w:sz w:val="16"/>
              </w:rPr>
              <w:t>Queries</w:t>
            </w:r>
          </w:p>
        </w:tc>
        <w:tc>
          <w:tcPr>
            <w:tcW w:type="dxa" w:w="3427"/>
            <w:tcMar>
              <w:top w:w="65" w:type="dxa"/>
              <w:start w:w="80" w:type="dxa"/>
              <w:bottom w:w="65" w:type="dxa"/>
              <w:end w:w="80" w:type="dxa"/>
            </w:tcMar>
            <w:vAlign w:val="center"/>
          </w:tcPr>
          <w:p>
            <w:pPr>
              <w:spacing w:after="20"/>
            </w:pPr>
            <w:r>
              <w:rPr>
                <w:rFonts w:ascii="Aptos" w:hAnsi="Aptos" w:eastAsia="Aptos"/>
                <w:sz w:val="16"/>
              </w:rPr>
              <w:t>Flexible joins and filters for analyst dashboards.</w:t>
            </w:r>
          </w:p>
        </w:tc>
        <w:tc>
          <w:tcPr>
            <w:tcW w:type="dxa" w:w="3427"/>
            <w:tcMar>
              <w:top w:w="65" w:type="dxa"/>
              <w:start w:w="80" w:type="dxa"/>
              <w:bottom w:w="65" w:type="dxa"/>
              <w:end w:w="80" w:type="dxa"/>
            </w:tcMar>
            <w:vAlign w:val="center"/>
          </w:tcPr>
          <w:p>
            <w:pPr>
              <w:spacing w:after="20"/>
            </w:pPr>
            <w:r>
              <w:rPr>
                <w:rFonts w:ascii="Aptos" w:hAnsi="Aptos" w:eastAsia="Aptos"/>
                <w:sz w:val="16"/>
              </w:rPr>
              <w:t>Fast for predefined access patterns; joins are limited or avoided.</w:t>
            </w:r>
          </w:p>
        </w:tc>
      </w:tr>
      <w:tr>
        <w:tc>
          <w:tcPr>
            <w:tcW w:type="dxa" w:w="3427"/>
            <w:tcMar>
              <w:top w:w="65" w:type="dxa"/>
              <w:start w:w="80" w:type="dxa"/>
              <w:bottom w:w="65" w:type="dxa"/>
              <w:end w:w="80" w:type="dxa"/>
            </w:tcMar>
            <w:vAlign w:val="center"/>
          </w:tcPr>
          <w:p>
            <w:pPr>
              <w:spacing w:after="20"/>
            </w:pPr>
            <w:r>
              <w:rPr>
                <w:rFonts w:ascii="Aptos" w:hAnsi="Aptos" w:eastAsia="Aptos"/>
                <w:sz w:val="16"/>
              </w:rPr>
              <w:t>Tradeoff</w:t>
            </w:r>
          </w:p>
        </w:tc>
        <w:tc>
          <w:tcPr>
            <w:tcW w:type="dxa" w:w="3427"/>
            <w:tcMar>
              <w:top w:w="65" w:type="dxa"/>
              <w:start w:w="80" w:type="dxa"/>
              <w:bottom w:w="65" w:type="dxa"/>
              <w:end w:w="80" w:type="dxa"/>
            </w:tcMar>
            <w:vAlign w:val="center"/>
          </w:tcPr>
          <w:p>
            <w:pPr>
              <w:spacing w:after="20"/>
            </w:pPr>
            <w:r>
              <w:rPr>
                <w:rFonts w:ascii="Aptos" w:hAnsi="Aptos" w:eastAsia="Aptos"/>
                <w:sz w:val="16"/>
              </w:rPr>
              <w:t>More schema discipline, stronger consistency.</w:t>
            </w:r>
          </w:p>
        </w:tc>
        <w:tc>
          <w:tcPr>
            <w:tcW w:type="dxa" w:w="3427"/>
            <w:tcMar>
              <w:top w:w="65" w:type="dxa"/>
              <w:start w:w="80" w:type="dxa"/>
              <w:bottom w:w="65" w:type="dxa"/>
              <w:end w:w="80" w:type="dxa"/>
            </w:tcMar>
            <w:vAlign w:val="center"/>
          </w:tcPr>
          <w:p>
            <w:pPr>
              <w:spacing w:after="20"/>
            </w:pPr>
            <w:r>
              <w:rPr>
                <w:rFonts w:ascii="Aptos" w:hAnsi="Aptos" w:eastAsia="Aptos"/>
                <w:sz w:val="16"/>
              </w:rPr>
              <w:t>More flexibility and horizontal scale, but greater consistency complexity.</w:t>
            </w:r>
          </w:p>
        </w:tc>
      </w:tr>
    </w:tbl>
    <w:p>
      <w:pPr>
        <w:pStyle w:val="Heading2"/>
        <w:keepNext/>
      </w:pPr>
      <w:r>
        <w:t>2. PostgreSQL vs. SQL Server vs. SQLite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65" w:type="dxa"/>
              <w:start w:w="80" w:type="dxa"/>
              <w:bottom w:w="65" w:type="dxa"/>
              <w:end w:w="80" w:type="dxa"/>
            </w:tcMar>
          </w:tcPr>
          <w:p>
            <w:pPr>
              <w:spacing w:after="20"/>
            </w:pPr>
            <w:r>
              <w:rPr>
                <w:rFonts w:ascii="Aptos" w:hAnsi="Aptos" w:eastAsia="Aptos"/>
                <w:b/>
                <w:sz w:val="16"/>
              </w:rPr>
              <w:t>Criterion</w:t>
            </w:r>
          </w:p>
        </w:tc>
        <w:tc>
          <w:tcPr>
            <w:tcW w:type="dxa" w:w="2570"/>
            <w:shd w:fill="D9EAF7"/>
            <w:tcMar>
              <w:top w:w="65" w:type="dxa"/>
              <w:start w:w="80" w:type="dxa"/>
              <w:bottom w:w="65" w:type="dxa"/>
              <w:end w:w="80" w:type="dxa"/>
            </w:tcMar>
          </w:tcPr>
          <w:p>
            <w:pPr>
              <w:spacing w:after="20"/>
            </w:pPr>
            <w:r>
              <w:rPr>
                <w:rFonts w:ascii="Aptos" w:hAnsi="Aptos" w:eastAsia="Aptos"/>
                <w:b/>
                <w:sz w:val="16"/>
              </w:rPr>
              <w:t>PostgreSQL</w:t>
            </w:r>
          </w:p>
        </w:tc>
        <w:tc>
          <w:tcPr>
            <w:tcW w:type="dxa" w:w="2570"/>
            <w:shd w:fill="D9EAF7"/>
            <w:tcMar>
              <w:top w:w="65" w:type="dxa"/>
              <w:start w:w="80" w:type="dxa"/>
              <w:bottom w:w="65" w:type="dxa"/>
              <w:end w:w="80" w:type="dxa"/>
            </w:tcMar>
          </w:tcPr>
          <w:p>
            <w:pPr>
              <w:spacing w:after="20"/>
            </w:pPr>
            <w:r>
              <w:rPr>
                <w:rFonts w:ascii="Aptos" w:hAnsi="Aptos" w:eastAsia="Aptos"/>
                <w:b/>
                <w:sz w:val="16"/>
              </w:rPr>
              <w:t>SQL Server</w:t>
            </w:r>
          </w:p>
        </w:tc>
        <w:tc>
          <w:tcPr>
            <w:tcW w:type="dxa" w:w="2570"/>
            <w:shd w:fill="D9EAF7"/>
            <w:tcMar>
              <w:top w:w="65" w:type="dxa"/>
              <w:start w:w="80" w:type="dxa"/>
              <w:bottom w:w="65" w:type="dxa"/>
              <w:end w:w="80" w:type="dxa"/>
            </w:tcMar>
          </w:tcPr>
          <w:p>
            <w:pPr>
              <w:spacing w:after="20"/>
            </w:pPr>
            <w:r>
              <w:rPr>
                <w:rFonts w:ascii="Aptos" w:hAnsi="Aptos" w:eastAsia="Aptos"/>
                <w:b/>
                <w:sz w:val="16"/>
              </w:rPr>
              <w:t>SQLite</w:t>
            </w:r>
          </w:p>
        </w:tc>
      </w:tr>
      <w:tr>
        <w:tc>
          <w:tcPr>
            <w:tcW w:type="dxa" w:w="2570"/>
            <w:tcMar>
              <w:top w:w="65" w:type="dxa"/>
              <w:start w:w="80" w:type="dxa"/>
              <w:bottom w:w="65" w:type="dxa"/>
              <w:end w:w="80" w:type="dxa"/>
            </w:tcMar>
            <w:vAlign w:val="center"/>
          </w:tcPr>
          <w:p>
            <w:pPr>
              <w:spacing w:after="20"/>
            </w:pPr>
            <w:r>
              <w:rPr>
                <w:rFonts w:ascii="Aptos" w:hAnsi="Aptos" w:eastAsia="Aptos"/>
                <w:sz w:val="16"/>
              </w:rPr>
              <w:t>Primary strength</w:t>
            </w:r>
          </w:p>
        </w:tc>
        <w:tc>
          <w:tcPr>
            <w:tcW w:type="dxa" w:w="2570"/>
            <w:tcMar>
              <w:top w:w="65" w:type="dxa"/>
              <w:start w:w="80" w:type="dxa"/>
              <w:bottom w:w="65" w:type="dxa"/>
              <w:end w:w="80" w:type="dxa"/>
            </w:tcMar>
            <w:vAlign w:val="center"/>
          </w:tcPr>
          <w:p>
            <w:pPr>
              <w:spacing w:after="20"/>
            </w:pPr>
            <w:r>
              <w:rPr>
                <w:rFonts w:ascii="Aptos" w:hAnsi="Aptos" w:eastAsia="Aptos"/>
                <w:sz w:val="16"/>
              </w:rPr>
              <w:t>Open-source production database; JSONB, RLS, Docker, FastAPI ecosystem.</w:t>
            </w:r>
          </w:p>
        </w:tc>
        <w:tc>
          <w:tcPr>
            <w:tcW w:type="dxa" w:w="2570"/>
            <w:tcMar>
              <w:top w:w="65" w:type="dxa"/>
              <w:start w:w="80" w:type="dxa"/>
              <w:bottom w:w="65" w:type="dxa"/>
              <w:end w:w="80" w:type="dxa"/>
            </w:tcMar>
            <w:vAlign w:val="center"/>
          </w:tcPr>
          <w:p>
            <w:pPr>
              <w:spacing w:after="20"/>
            </w:pPr>
            <w:r>
              <w:rPr>
                <w:rFonts w:ascii="Aptos" w:hAnsi="Aptos" w:eastAsia="Aptos"/>
                <w:sz w:val="16"/>
              </w:rPr>
              <w:t>Enterprise database with strong Microsoft, Azure, .NET, and BI integration.</w:t>
            </w:r>
          </w:p>
        </w:tc>
        <w:tc>
          <w:tcPr>
            <w:tcW w:type="dxa" w:w="2570"/>
            <w:tcMar>
              <w:top w:w="65" w:type="dxa"/>
              <w:start w:w="80" w:type="dxa"/>
              <w:bottom w:w="65" w:type="dxa"/>
              <w:end w:w="80" w:type="dxa"/>
            </w:tcMar>
            <w:vAlign w:val="center"/>
          </w:tcPr>
          <w:p>
            <w:pPr>
              <w:spacing w:after="20"/>
            </w:pPr>
            <w:r>
              <w:rPr>
                <w:rFonts w:ascii="Aptos" w:hAnsi="Aptos" w:eastAsia="Aptos"/>
                <w:sz w:val="16"/>
              </w:rPr>
              <w:t>Simple embedded file with almost no setup.</w:t>
            </w:r>
          </w:p>
        </w:tc>
      </w:tr>
      <w:tr>
        <w:tc>
          <w:tcPr>
            <w:tcW w:type="dxa" w:w="2570"/>
            <w:tcMar>
              <w:top w:w="65" w:type="dxa"/>
              <w:start w:w="80" w:type="dxa"/>
              <w:bottom w:w="65" w:type="dxa"/>
              <w:end w:w="80" w:type="dxa"/>
            </w:tcMar>
            <w:vAlign w:val="center"/>
          </w:tcPr>
          <w:p>
            <w:pPr>
              <w:spacing w:after="20"/>
            </w:pPr>
            <w:r>
              <w:rPr>
                <w:rFonts w:ascii="Aptos" w:hAnsi="Aptos" w:eastAsia="Aptos"/>
                <w:sz w:val="16"/>
              </w:rPr>
              <w:t>Main tradeoff</w:t>
            </w:r>
          </w:p>
        </w:tc>
        <w:tc>
          <w:tcPr>
            <w:tcW w:type="dxa" w:w="2570"/>
            <w:tcMar>
              <w:top w:w="65" w:type="dxa"/>
              <w:start w:w="80" w:type="dxa"/>
              <w:bottom w:w="65" w:type="dxa"/>
              <w:end w:w="80" w:type="dxa"/>
            </w:tcMar>
            <w:vAlign w:val="center"/>
          </w:tcPr>
          <w:p>
            <w:pPr>
              <w:spacing w:after="20"/>
            </w:pPr>
            <w:r>
              <w:rPr>
                <w:rFonts w:ascii="Aptos" w:hAnsi="Aptos" w:eastAsia="Aptos"/>
                <w:sz w:val="16"/>
              </w:rPr>
              <w:t>Requires operating a database server.</w:t>
            </w:r>
          </w:p>
        </w:tc>
        <w:tc>
          <w:tcPr>
            <w:tcW w:type="dxa" w:w="2570"/>
            <w:tcMar>
              <w:top w:w="65" w:type="dxa"/>
              <w:start w:w="80" w:type="dxa"/>
              <w:bottom w:w="65" w:type="dxa"/>
              <w:end w:w="80" w:type="dxa"/>
            </w:tcMar>
            <w:vAlign w:val="center"/>
          </w:tcPr>
          <w:p>
            <w:pPr>
              <w:spacing w:after="20"/>
            </w:pPr>
            <w:r>
              <w:rPr>
                <w:rFonts w:ascii="Aptos" w:hAnsi="Aptos" w:eastAsia="Aptos"/>
                <w:sz w:val="16"/>
              </w:rPr>
              <w:t>Can add licensing and Microsoft-specific deployment complexity.</w:t>
            </w:r>
          </w:p>
        </w:tc>
        <w:tc>
          <w:tcPr>
            <w:tcW w:type="dxa" w:w="2570"/>
            <w:tcMar>
              <w:top w:w="65" w:type="dxa"/>
              <w:start w:w="80" w:type="dxa"/>
              <w:bottom w:w="65" w:type="dxa"/>
              <w:end w:w="80" w:type="dxa"/>
            </w:tcMar>
            <w:vAlign w:val="center"/>
          </w:tcPr>
          <w:p>
            <w:pPr>
              <w:spacing w:after="20"/>
            </w:pPr>
            <w:r>
              <w:rPr>
                <w:rFonts w:ascii="Aptos" w:hAnsi="Aptos" w:eastAsia="Aptos"/>
                <w:sz w:val="16"/>
              </w:rPr>
              <w:t>Limited concurrent writes, server security roles, and tenant isolation.</w:t>
            </w:r>
          </w:p>
        </w:tc>
      </w:tr>
      <w:tr>
        <w:tc>
          <w:tcPr>
            <w:tcW w:type="dxa" w:w="2570"/>
            <w:tcMar>
              <w:top w:w="65" w:type="dxa"/>
              <w:start w:w="80" w:type="dxa"/>
              <w:bottom w:w="65" w:type="dxa"/>
              <w:end w:w="80" w:type="dxa"/>
            </w:tcMar>
            <w:vAlign w:val="center"/>
          </w:tcPr>
          <w:p>
            <w:pPr>
              <w:spacing w:after="20"/>
            </w:pPr>
            <w:r>
              <w:rPr>
                <w:rFonts w:ascii="Aptos" w:hAnsi="Aptos" w:eastAsia="Aptos"/>
                <w:sz w:val="16"/>
              </w:rPr>
              <w:t>Best fit</w:t>
            </w:r>
          </w:p>
        </w:tc>
        <w:tc>
          <w:tcPr>
            <w:tcW w:type="dxa" w:w="2570"/>
            <w:tcMar>
              <w:top w:w="65" w:type="dxa"/>
              <w:start w:w="80" w:type="dxa"/>
              <w:bottom w:w="65" w:type="dxa"/>
              <w:end w:w="80" w:type="dxa"/>
            </w:tcMar>
            <w:vAlign w:val="center"/>
          </w:tcPr>
          <w:p>
            <w:pPr>
              <w:spacing w:after="20"/>
            </w:pPr>
            <w:r>
              <w:rPr>
                <w:rFonts w:ascii="Aptos" w:hAnsi="Aptos" w:eastAsia="Aptos"/>
                <w:sz w:val="16"/>
              </w:rPr>
              <w:t>Current prototype and production target.</w:t>
            </w:r>
          </w:p>
        </w:tc>
        <w:tc>
          <w:tcPr>
            <w:tcW w:type="dxa" w:w="2570"/>
            <w:tcMar>
              <w:top w:w="65" w:type="dxa"/>
              <w:start w:w="80" w:type="dxa"/>
              <w:bottom w:w="65" w:type="dxa"/>
              <w:end w:w="80" w:type="dxa"/>
            </w:tcMar>
            <w:vAlign w:val="center"/>
          </w:tcPr>
          <w:p>
            <w:pPr>
              <w:spacing w:after="20"/>
            </w:pPr>
            <w:r>
              <w:rPr>
                <w:rFonts w:ascii="Aptos" w:hAnsi="Aptos" w:eastAsia="Aptos"/>
                <w:sz w:val="16"/>
              </w:rPr>
              <w:t>Organizations already standardized on Microsoft infrastructure.</w:t>
            </w:r>
          </w:p>
        </w:tc>
        <w:tc>
          <w:tcPr>
            <w:tcW w:type="dxa" w:w="2570"/>
            <w:tcMar>
              <w:top w:w="65" w:type="dxa"/>
              <w:start w:w="80" w:type="dxa"/>
              <w:bottom w:w="65" w:type="dxa"/>
              <w:end w:w="80" w:type="dxa"/>
            </w:tcMar>
            <w:vAlign w:val="center"/>
          </w:tcPr>
          <w:p>
            <w:pPr>
              <w:spacing w:after="20"/>
            </w:pPr>
            <w:r>
              <w:rPr>
                <w:rFonts w:ascii="Aptos" w:hAnsi="Aptos" w:eastAsia="Aptos"/>
                <w:sz w:val="16"/>
              </w:rPr>
              <w:t>Local demo, unit tests, or single-instance MVP.</w:t>
            </w:r>
          </w:p>
        </w:tc>
      </w:tr>
    </w:tbl>
    <w:p>
      <w:pPr>
        <w:pStyle w:val="Heading2"/>
        <w:keepNext/>
      </w:pPr>
      <w:r>
        <w:t>3. PostgreSQL / Object Storage vs. HashMap</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AF7"/>
            <w:tcMar>
              <w:top w:w="65" w:type="dxa"/>
              <w:start w:w="80" w:type="dxa"/>
              <w:bottom w:w="65" w:type="dxa"/>
              <w:end w:w="80" w:type="dxa"/>
            </w:tcMar>
          </w:tcPr>
          <w:p>
            <w:pPr>
              <w:spacing w:after="20"/>
            </w:pPr>
            <w:r>
              <w:rPr>
                <w:rFonts w:ascii="Aptos" w:hAnsi="Aptos" w:eastAsia="Aptos"/>
                <w:b/>
                <w:sz w:val="16"/>
              </w:rPr>
              <w:t>Option</w:t>
            </w:r>
          </w:p>
        </w:tc>
        <w:tc>
          <w:tcPr>
            <w:tcW w:type="dxa" w:w="2570"/>
            <w:shd w:fill="D9EAF7"/>
            <w:tcMar>
              <w:top w:w="65" w:type="dxa"/>
              <w:start w:w="80" w:type="dxa"/>
              <w:bottom w:w="65" w:type="dxa"/>
              <w:end w:w="80" w:type="dxa"/>
            </w:tcMar>
          </w:tcPr>
          <w:p>
            <w:pPr>
              <w:spacing w:after="20"/>
            </w:pPr>
            <w:r>
              <w:rPr>
                <w:rFonts w:ascii="Aptos" w:hAnsi="Aptos" w:eastAsia="Aptos"/>
                <w:b/>
                <w:sz w:val="16"/>
              </w:rPr>
              <w:t>Advantage</w:t>
            </w:r>
          </w:p>
        </w:tc>
        <w:tc>
          <w:tcPr>
            <w:tcW w:type="dxa" w:w="2570"/>
            <w:shd w:fill="D9EAF7"/>
            <w:tcMar>
              <w:top w:w="65" w:type="dxa"/>
              <w:start w:w="80" w:type="dxa"/>
              <w:bottom w:w="65" w:type="dxa"/>
              <w:end w:w="80" w:type="dxa"/>
            </w:tcMar>
          </w:tcPr>
          <w:p>
            <w:pPr>
              <w:spacing w:after="20"/>
            </w:pPr>
            <w:r>
              <w:rPr>
                <w:rFonts w:ascii="Aptos" w:hAnsi="Aptos" w:eastAsia="Aptos"/>
                <w:b/>
                <w:sz w:val="16"/>
              </w:rPr>
              <w:t>Limitation</w:t>
            </w:r>
          </w:p>
        </w:tc>
        <w:tc>
          <w:tcPr>
            <w:tcW w:type="dxa" w:w="2570"/>
            <w:shd w:fill="D9EAF7"/>
            <w:tcMar>
              <w:top w:w="65" w:type="dxa"/>
              <w:start w:w="80" w:type="dxa"/>
              <w:bottom w:w="65" w:type="dxa"/>
              <w:end w:w="80" w:type="dxa"/>
            </w:tcMar>
          </w:tcPr>
          <w:p>
            <w:pPr>
              <w:spacing w:after="20"/>
            </w:pPr>
            <w:r>
              <w:rPr>
                <w:rFonts w:ascii="Aptos" w:hAnsi="Aptos" w:eastAsia="Aptos"/>
                <w:b/>
                <w:sz w:val="16"/>
              </w:rPr>
              <w:t>Role</w:t>
            </w:r>
          </w:p>
        </w:tc>
      </w:tr>
      <w:tr>
        <w:tc>
          <w:tcPr>
            <w:tcW w:type="dxa" w:w="2570"/>
            <w:tcMar>
              <w:top w:w="65" w:type="dxa"/>
              <w:start w:w="80" w:type="dxa"/>
              <w:bottom w:w="65" w:type="dxa"/>
              <w:end w:w="80" w:type="dxa"/>
            </w:tcMar>
            <w:vAlign w:val="center"/>
          </w:tcPr>
          <w:p>
            <w:pPr>
              <w:spacing w:after="20"/>
            </w:pPr>
            <w:r>
              <w:rPr>
                <w:rFonts w:ascii="Aptos" w:hAnsi="Aptos" w:eastAsia="Aptos"/>
                <w:sz w:val="16"/>
              </w:rPr>
              <w:t>PostgreSQL</w:t>
            </w:r>
          </w:p>
        </w:tc>
        <w:tc>
          <w:tcPr>
            <w:tcW w:type="dxa" w:w="2570"/>
            <w:tcMar>
              <w:top w:w="65" w:type="dxa"/>
              <w:start w:w="80" w:type="dxa"/>
              <w:bottom w:w="65" w:type="dxa"/>
              <w:end w:w="80" w:type="dxa"/>
            </w:tcMar>
            <w:vAlign w:val="center"/>
          </w:tcPr>
          <w:p>
            <w:pPr>
              <w:spacing w:after="20"/>
            </w:pPr>
            <w:r>
              <w:rPr>
                <w:rFonts w:ascii="Aptos" w:hAnsi="Aptos" w:eastAsia="Aptos"/>
                <w:sz w:val="16"/>
              </w:rPr>
              <w:t>Durable, transactional, relational, secured, queryable.</w:t>
            </w:r>
          </w:p>
        </w:tc>
        <w:tc>
          <w:tcPr>
            <w:tcW w:type="dxa" w:w="2570"/>
            <w:tcMar>
              <w:top w:w="65" w:type="dxa"/>
              <w:start w:w="80" w:type="dxa"/>
              <w:bottom w:w="65" w:type="dxa"/>
              <w:end w:w="80" w:type="dxa"/>
            </w:tcMar>
            <w:vAlign w:val="center"/>
          </w:tcPr>
          <w:p>
            <w:pPr>
              <w:spacing w:after="20"/>
            </w:pPr>
            <w:r>
              <w:rPr>
                <w:rFonts w:ascii="Aptos" w:hAnsi="Aptos" w:eastAsia="Aptos"/>
                <w:sz w:val="16"/>
              </w:rPr>
              <w:t>Not efficient or economical for very large files.</w:t>
            </w:r>
          </w:p>
        </w:tc>
        <w:tc>
          <w:tcPr>
            <w:tcW w:type="dxa" w:w="2570"/>
            <w:tcMar>
              <w:top w:w="65" w:type="dxa"/>
              <w:start w:w="80" w:type="dxa"/>
              <w:bottom w:w="65" w:type="dxa"/>
              <w:end w:w="80" w:type="dxa"/>
            </w:tcMar>
            <w:vAlign w:val="center"/>
          </w:tcPr>
          <w:p>
            <w:pPr>
              <w:spacing w:after="20"/>
            </w:pPr>
            <w:r>
              <w:rPr>
                <w:rFonts w:ascii="Aptos" w:hAnsi="Aptos" w:eastAsia="Aptos"/>
                <w:sz w:val="16"/>
              </w:rPr>
              <w:t>Authoritative structured record.</w:t>
            </w:r>
          </w:p>
        </w:tc>
      </w:tr>
      <w:tr>
        <w:tc>
          <w:tcPr>
            <w:tcW w:type="dxa" w:w="2570"/>
            <w:tcMar>
              <w:top w:w="65" w:type="dxa"/>
              <w:start w:w="80" w:type="dxa"/>
              <w:bottom w:w="65" w:type="dxa"/>
              <w:end w:w="80" w:type="dxa"/>
            </w:tcMar>
            <w:vAlign w:val="center"/>
          </w:tcPr>
          <w:p>
            <w:pPr>
              <w:spacing w:after="20"/>
            </w:pPr>
            <w:r>
              <w:rPr>
                <w:rFonts w:ascii="Aptos" w:hAnsi="Aptos" w:eastAsia="Aptos"/>
                <w:sz w:val="16"/>
              </w:rPr>
              <w:t>Object storage</w:t>
            </w:r>
          </w:p>
        </w:tc>
        <w:tc>
          <w:tcPr>
            <w:tcW w:type="dxa" w:w="2570"/>
            <w:tcMar>
              <w:top w:w="65" w:type="dxa"/>
              <w:start w:w="80" w:type="dxa"/>
              <w:bottom w:w="65" w:type="dxa"/>
              <w:end w:w="80" w:type="dxa"/>
            </w:tcMar>
            <w:vAlign w:val="center"/>
          </w:tcPr>
          <w:p>
            <w:pPr>
              <w:spacing w:after="20"/>
            </w:pPr>
            <w:r>
              <w:rPr>
                <w:rFonts w:ascii="Aptos" w:hAnsi="Aptos" w:eastAsia="Aptos"/>
                <w:sz w:val="16"/>
              </w:rPr>
              <w:t>Scales to large objects; multipart upload and lifecycle policies.</w:t>
            </w:r>
          </w:p>
        </w:tc>
        <w:tc>
          <w:tcPr>
            <w:tcW w:type="dxa" w:w="2570"/>
            <w:tcMar>
              <w:top w:w="65" w:type="dxa"/>
              <w:start w:w="80" w:type="dxa"/>
              <w:bottom w:w="65" w:type="dxa"/>
              <w:end w:w="80" w:type="dxa"/>
            </w:tcMar>
            <w:vAlign w:val="center"/>
          </w:tcPr>
          <w:p>
            <w:pPr>
              <w:spacing w:after="20"/>
            </w:pPr>
            <w:r>
              <w:rPr>
                <w:rFonts w:ascii="Aptos" w:hAnsi="Aptos" w:eastAsia="Aptos"/>
                <w:sz w:val="16"/>
              </w:rPr>
              <w:t>No relational joins or workflow transactions.</w:t>
            </w:r>
          </w:p>
        </w:tc>
        <w:tc>
          <w:tcPr>
            <w:tcW w:type="dxa" w:w="2570"/>
            <w:tcMar>
              <w:top w:w="65" w:type="dxa"/>
              <w:start w:w="80" w:type="dxa"/>
              <w:bottom w:w="65" w:type="dxa"/>
              <w:end w:w="80" w:type="dxa"/>
            </w:tcMar>
            <w:vAlign w:val="center"/>
          </w:tcPr>
          <w:p>
            <w:pPr>
              <w:spacing w:after="20"/>
            </w:pPr>
            <w:r>
              <w:rPr>
                <w:rFonts w:ascii="Aptos" w:hAnsi="Aptos" w:eastAsia="Aptos"/>
                <w:sz w:val="16"/>
              </w:rPr>
              <w:t>Large content and artifacts.</w:t>
            </w:r>
          </w:p>
        </w:tc>
      </w:tr>
      <w:tr>
        <w:tc>
          <w:tcPr>
            <w:tcW w:type="dxa" w:w="2570"/>
            <w:tcMar>
              <w:top w:w="65" w:type="dxa"/>
              <w:start w:w="80" w:type="dxa"/>
              <w:bottom w:w="65" w:type="dxa"/>
              <w:end w:w="80" w:type="dxa"/>
            </w:tcMar>
            <w:vAlign w:val="center"/>
          </w:tcPr>
          <w:p>
            <w:pPr>
              <w:spacing w:after="20"/>
            </w:pPr>
            <w:r>
              <w:rPr>
                <w:rFonts w:ascii="Aptos" w:hAnsi="Aptos" w:eastAsia="Aptos"/>
                <w:sz w:val="16"/>
              </w:rPr>
              <w:t>Redis</w:t>
            </w:r>
          </w:p>
        </w:tc>
        <w:tc>
          <w:tcPr>
            <w:tcW w:type="dxa" w:w="2570"/>
            <w:tcMar>
              <w:top w:w="65" w:type="dxa"/>
              <w:start w:w="80" w:type="dxa"/>
              <w:bottom w:w="65" w:type="dxa"/>
              <w:end w:w="80" w:type="dxa"/>
            </w:tcMar>
            <w:vAlign w:val="center"/>
          </w:tcPr>
          <w:p>
            <w:pPr>
              <w:spacing w:after="20"/>
            </w:pPr>
            <w:r>
              <w:rPr>
                <w:rFonts w:ascii="Aptos" w:hAnsi="Aptos" w:eastAsia="Aptos"/>
                <w:sz w:val="16"/>
              </w:rPr>
              <w:t>Very fast shared cache with TTL.</w:t>
            </w:r>
          </w:p>
        </w:tc>
        <w:tc>
          <w:tcPr>
            <w:tcW w:type="dxa" w:w="2570"/>
            <w:tcMar>
              <w:top w:w="65" w:type="dxa"/>
              <w:start w:w="80" w:type="dxa"/>
              <w:bottom w:w="65" w:type="dxa"/>
              <w:end w:w="80" w:type="dxa"/>
            </w:tcMar>
            <w:vAlign w:val="center"/>
          </w:tcPr>
          <w:p>
            <w:pPr>
              <w:spacing w:after="20"/>
            </w:pPr>
            <w:r>
              <w:rPr>
                <w:rFonts w:ascii="Aptos" w:hAnsi="Aptos" w:eastAsia="Aptos"/>
                <w:sz w:val="16"/>
              </w:rPr>
              <w:t>Not the permanent source of truth.</w:t>
            </w:r>
          </w:p>
        </w:tc>
        <w:tc>
          <w:tcPr>
            <w:tcW w:type="dxa" w:w="2570"/>
            <w:tcMar>
              <w:top w:w="65" w:type="dxa"/>
              <w:start w:w="80" w:type="dxa"/>
              <w:bottom w:w="65" w:type="dxa"/>
              <w:end w:w="80" w:type="dxa"/>
            </w:tcMar>
            <w:vAlign w:val="center"/>
          </w:tcPr>
          <w:p>
            <w:pPr>
              <w:spacing w:after="20"/>
            </w:pPr>
            <w:r>
              <w:rPr>
                <w:rFonts w:ascii="Aptos" w:hAnsi="Aptos" w:eastAsia="Aptos"/>
                <w:sz w:val="16"/>
              </w:rPr>
              <w:t>Job state, sessions, rate limits, cache.</w:t>
            </w:r>
          </w:p>
        </w:tc>
      </w:tr>
      <w:tr>
        <w:tc>
          <w:tcPr>
            <w:tcW w:type="dxa" w:w="2570"/>
            <w:tcMar>
              <w:top w:w="65" w:type="dxa"/>
              <w:start w:w="80" w:type="dxa"/>
              <w:bottom w:w="65" w:type="dxa"/>
              <w:end w:w="80" w:type="dxa"/>
            </w:tcMar>
            <w:vAlign w:val="center"/>
          </w:tcPr>
          <w:p>
            <w:pPr>
              <w:spacing w:after="20"/>
            </w:pPr>
            <w:r>
              <w:rPr>
                <w:rFonts w:ascii="Aptos" w:hAnsi="Aptos" w:eastAsia="Aptos"/>
                <w:sz w:val="16"/>
              </w:rPr>
              <w:t>In-memory HashMap</w:t>
            </w:r>
          </w:p>
        </w:tc>
        <w:tc>
          <w:tcPr>
            <w:tcW w:type="dxa" w:w="2570"/>
            <w:tcMar>
              <w:top w:w="65" w:type="dxa"/>
              <w:start w:w="80" w:type="dxa"/>
              <w:bottom w:w="65" w:type="dxa"/>
              <w:end w:w="80" w:type="dxa"/>
            </w:tcMar>
            <w:vAlign w:val="center"/>
          </w:tcPr>
          <w:p>
            <w:pPr>
              <w:spacing w:after="20"/>
            </w:pPr>
            <w:r>
              <w:rPr>
                <w:rFonts w:ascii="Aptos" w:hAnsi="Aptos" w:eastAsia="Aptos"/>
                <w:sz w:val="16"/>
              </w:rPr>
              <w:t>Simple and fast average O(1) lookup.</w:t>
            </w:r>
          </w:p>
        </w:tc>
        <w:tc>
          <w:tcPr>
            <w:tcW w:type="dxa" w:w="2570"/>
            <w:tcMar>
              <w:top w:w="65" w:type="dxa"/>
              <w:start w:w="80" w:type="dxa"/>
              <w:bottom w:w="65" w:type="dxa"/>
              <w:end w:w="80" w:type="dxa"/>
            </w:tcMar>
            <w:vAlign w:val="center"/>
          </w:tcPr>
          <w:p>
            <w:pPr>
              <w:spacing w:after="20"/>
            </w:pPr>
            <w:r>
              <w:rPr>
                <w:rFonts w:ascii="Aptos" w:hAnsi="Aptos" w:eastAsia="Aptos"/>
                <w:sz w:val="16"/>
              </w:rPr>
              <w:t>Lost on restart, not shared across servers, no audit or relational integrity.</w:t>
            </w:r>
          </w:p>
        </w:tc>
        <w:tc>
          <w:tcPr>
            <w:tcW w:type="dxa" w:w="2570"/>
            <w:tcMar>
              <w:top w:w="65" w:type="dxa"/>
              <w:start w:w="80" w:type="dxa"/>
              <w:bottom w:w="65" w:type="dxa"/>
              <w:end w:w="80" w:type="dxa"/>
            </w:tcMar>
            <w:vAlign w:val="center"/>
          </w:tcPr>
          <w:p>
            <w:pPr>
              <w:spacing w:after="20"/>
            </w:pPr>
            <w:r>
              <w:rPr>
                <w:rFonts w:ascii="Aptos" w:hAnsi="Aptos" w:eastAsia="Aptos"/>
                <w:sz w:val="16"/>
              </w:rPr>
              <w:t>Local temporary computation only.</w:t>
            </w:r>
          </w:p>
        </w:tc>
      </w:tr>
    </w:tbl>
    <w:tbl>
      <w:tblPr>
        <w:tblW w:type="auto" w:w="0"/>
        <w:jc w:val="center"/>
        <w:tblLook w:firstColumn="1" w:firstRow="1" w:lastColumn="0" w:lastRow="0" w:noHBand="0" w:noVBand="1" w:val="04A0"/>
      </w:tblPr>
      <w:tblGrid>
        <w:gridCol w:w="10282"/>
      </w:tblGrid>
      <w:tr>
        <w:tc>
          <w:tcPr>
            <w:tcW w:type="dxa" w:w="10282"/>
            <w:shd w:fill="EAF2F8"/>
            <w:tcMar>
              <w:top w:w="100" w:type="dxa"/>
              <w:start w:w="120" w:type="dxa"/>
              <w:bottom w:w="100" w:type="dxa"/>
              <w:end w:w="120" w:type="dxa"/>
            </w:tcMar>
          </w:tcPr>
          <w:p>
            <w:pPr>
              <w:spacing w:after="20"/>
            </w:pPr>
            <w:r>
              <w:rPr>
                <w:rFonts w:ascii="Aptos" w:hAnsi="Aptos" w:eastAsia="Aptos"/>
                <w:b/>
                <w:color w:val="1F4E79"/>
                <w:sz w:val="16"/>
              </w:rPr>
              <w:t xml:space="preserve">Important: </w:t>
            </w:r>
            <w:r>
              <w:rPr>
                <w:rFonts w:ascii="Aptos" w:hAnsi="Aptos" w:eastAsia="Aptos"/>
                <w:sz w:val="16"/>
              </w:rPr>
              <w:t>A HashMap is a lookup data structure, not a durable database. A SHA-256 hash is useful for integrity and deduplication, but it is only a fingerprint and does not store the content.</w:t>
            </w:r>
          </w:p>
        </w:tc>
      </w:tr>
    </w:tbl>
    <w:p>
      <w:pPr>
        <w:pStyle w:val="Heading2"/>
        <w:keepNext/>
      </w:pPr>
      <w:r>
        <w:t>3a. Security and Encryption Dimension</w:t>
      </w:r>
    </w:p>
    <w:p>
      <w:r>
        <w:rPr>
          <w:rFonts w:ascii="Aptos" w:hAnsi="Aptos" w:eastAsia="Aptos"/>
          <w:sz w:val="18"/>
        </w:rPr>
        <w:t xml:space="preserve">Because this is a child-safety system, storage-level access control and encryption are required considerations not captured in the table above.</w:t>
      </w:r>
    </w:p>
    <w:tbl>
      <w:tblPr>
        <w:tblStyle w:val="TableGrid"/>
        <w:tblW w:type="auto" w:w="0"/>
        <w:jc w:val="center"/>
        <w:tblLook w:firstColumn="1" w:firstRow="1" w:lastColumn="0" w:lastRow="0" w:noHBand="0" w:noVBand="1" w:val="04A0"/>
      </w:tblPr>
      <w:tblGrid>
        <w:gridCol w:w="2280"/>
        <w:gridCol w:w="3900"/>
        <w:gridCol w:w="4100"/>
      </w:tblGrid>
      <w:tr>
        <w:trPr>
          <w:tblHeader w:val="true"/>
        </w:trPr>
        <w:tc>
          <w:tcPr>
            <w:tcW w:type="dxa" w:w="2280"/>
            <w:shd w:fill="D9EAF7"/>
            <w:tcMar>
              <w:top w:w="65" w:type="dxa"/>
              <w:start w:w="80" w:type="dxa"/>
              <w:bottom w:w="65" w:type="dxa"/>
              <w:end w:w="80" w:type="dxa"/>
            </w:tcMar>
          </w:tcPr>
          <w:p>
            <w:r>
              <w:rPr>
                <w:rFonts w:ascii="Aptos" w:hAnsi="Aptos" w:eastAsia="Aptos"/>
                <w:b/>
                <w:sz w:val="16"/>
              </w:rPr>
              <w:t>Storage</w:t>
            </w:r>
          </w:p>
        </w:tc>
        <w:tc>
          <w:tcPr>
            <w:tcW w:type="dxa" w:w="3900"/>
            <w:shd w:fill="D9EAF7"/>
            <w:tcMar>
              <w:top w:w="65" w:type="dxa"/>
              <w:start w:w="80" w:type="dxa"/>
              <w:bottom w:w="65" w:type="dxa"/>
              <w:end w:w="80" w:type="dxa"/>
            </w:tcMar>
          </w:tcPr>
          <w:p>
            <w:r>
              <w:rPr>
                <w:rFonts w:ascii="Aptos" w:hAnsi="Aptos" w:eastAsia="Aptos"/>
                <w:b/>
                <w:sz w:val="16"/>
              </w:rPr>
              <w:t>Encryption at rest</w:t>
            </w:r>
          </w:p>
        </w:tc>
        <w:tc>
          <w:tcPr>
            <w:tcW w:type="dxa" w:w="4100"/>
            <w:shd w:fill="D9EAF7"/>
            <w:tcMar>
              <w:top w:w="65" w:type="dxa"/>
              <w:start w:w="80" w:type="dxa"/>
              <w:bottom w:w="65" w:type="dxa"/>
              <w:end w:w="80" w:type="dxa"/>
            </w:tcMar>
          </w:tcPr>
          <w:p>
            <w:r>
              <w:rPr>
                <w:rFonts w:ascii="Aptos" w:hAnsi="Aptos" w:eastAsia="Aptos"/>
                <w:b/>
                <w:sz w:val="16"/>
              </w:rPr>
              <w:t>Access control</w:t>
            </w:r>
          </w:p>
        </w:tc>
      </w:tr>
      <w:tr>
        <w:tc>
          <w:tcPr>
            <w:tcW w:type="dxa" w:w="2280"/>
            <w:tcMar>
              <w:top w:w="65" w:type="dxa"/>
              <w:start w:w="80" w:type="dxa"/>
              <w:bottom w:w="65" w:type="dxa"/>
              <w:end w:w="80" w:type="dxa"/>
            </w:tcMar>
          </w:tcPr>
          <w:p>
            <w:pPr>
              <w:spacing w:after="20"/>
            </w:pPr>
            <w:r>
              <w:rPr>
                <w:rFonts w:ascii="Aptos" w:hAnsi="Aptos" w:eastAsia="Aptos"/>
                <w:sz w:val="16"/>
              </w:rPr>
              <w:t>PostgreSQL</w:t>
            </w:r>
          </w:p>
        </w:tc>
        <w:tc>
          <w:tcPr>
            <w:tcW w:type="dxa" w:w="3900"/>
            <w:tcMar>
              <w:top w:w="65" w:type="dxa"/>
              <w:start w:w="80" w:type="dxa"/>
              <w:bottom w:w="65" w:type="dxa"/>
              <w:end w:w="80" w:type="dxa"/>
            </w:tcMar>
          </w:tcPr>
          <w:p>
            <w:pPr>
              <w:spacing w:after="20"/>
            </w:pPr>
            <w:r>
              <w:rPr>
                <w:rFonts w:ascii="Aptos" w:hAnsi="Aptos" w:eastAsia="Aptos"/>
                <w:sz w:val="16"/>
              </w:rPr>
              <w:t>Managed-service or host-level volume encryption at rest; vendor-supported transparent encryption may be used where available.</w:t>
            </w:r>
          </w:p>
        </w:tc>
        <w:tc>
          <w:tcPr>
            <w:tcW w:type="dxa" w:w="4100"/>
            <w:tcMar>
              <w:top w:w="65" w:type="dxa"/>
              <w:start w:w="80" w:type="dxa"/>
              <w:bottom w:w="65" w:type="dxa"/>
              <w:end w:w="80" w:type="dxa"/>
            </w:tcMar>
          </w:tcPr>
          <w:p>
            <w:pPr>
              <w:spacing w:after="20"/>
            </w:pPr>
            <w:r>
              <w:rPr>
                <w:rFonts w:ascii="Aptos" w:hAnsi="Aptos" w:eastAsia="Aptos"/>
                <w:sz w:val="16"/>
              </w:rPr>
              <w:t>Row-Level Security policies per organization; application service account has least-privilege role; audit schema is insert-only.</w:t>
            </w:r>
          </w:p>
        </w:tc>
      </w:tr>
      <w:tr>
        <w:tc>
          <w:tcPr>
            <w:tcW w:type="dxa" w:w="2280"/>
            <w:shd w:fill="F5F5F5"/>
            <w:tcMar>
              <w:top w:w="65" w:type="dxa"/>
              <w:start w:w="80" w:type="dxa"/>
              <w:bottom w:w="65" w:type="dxa"/>
              <w:end w:w="80" w:type="dxa"/>
            </w:tcMar>
          </w:tcPr>
          <w:p>
            <w:pPr>
              <w:spacing w:after="20"/>
            </w:pPr>
            <w:r>
              <w:rPr>
                <w:rFonts w:ascii="Aptos" w:hAnsi="Aptos" w:eastAsia="Aptos"/>
                <w:sz w:val="16"/>
              </w:rPr>
              <w:t>Object storage</w:t>
            </w:r>
          </w:p>
        </w:tc>
        <w:tc>
          <w:tcPr>
            <w:tcW w:type="dxa" w:w="3900"/>
            <w:shd w:fill="F5F5F5"/>
            <w:tcMar>
              <w:top w:w="65" w:type="dxa"/>
              <w:start w:w="80" w:type="dxa"/>
              <w:bottom w:w="65" w:type="dxa"/>
              <w:end w:w="80" w:type="dxa"/>
            </w:tcMar>
          </w:tcPr>
          <w:p>
            <w:pPr>
              <w:spacing w:after="20"/>
            </w:pPr>
            <w:r>
              <w:rPr>
                <w:rFonts w:ascii="Aptos" w:hAnsi="Aptos" w:eastAsia="Aptos"/>
                <w:sz w:val="16"/>
              </w:rPr>
              <w:t>Server-side encryption enabled by default; customer-managed keys available as a production option.</w:t>
            </w:r>
          </w:p>
        </w:tc>
        <w:tc>
          <w:tcPr>
            <w:tcW w:type="dxa" w:w="4100"/>
            <w:shd w:fill="F5F5F5"/>
            <w:tcMar>
              <w:top w:w="65" w:type="dxa"/>
              <w:start w:w="80" w:type="dxa"/>
              <w:bottom w:w="65" w:type="dxa"/>
              <w:end w:w="80" w:type="dxa"/>
            </w:tcMar>
          </w:tcPr>
          <w:p>
            <w:pPr>
              <w:spacing w:after="20"/>
            </w:pPr>
            <w:r>
              <w:rPr>
                <w:rFonts w:ascii="Aptos" w:hAnsi="Aptos" w:eastAsia="Aptos"/>
                <w:sz w:val="16"/>
              </w:rPr>
              <w:t>IAM policies scoped to service account enforce organization-level access; organization-prefixed key structure ({org_id}/) prevents naming collisions and supports policy scoping. No public access.</w:t>
            </w:r>
          </w:p>
        </w:tc>
      </w:tr>
      <w:tr>
        <w:tc>
          <w:tcPr>
            <w:tcW w:type="dxa" w:w="2280"/>
            <w:tcMar>
              <w:top w:w="65" w:type="dxa"/>
              <w:start w:w="80" w:type="dxa"/>
              <w:bottom w:w="65" w:type="dxa"/>
              <w:end w:w="80" w:type="dxa"/>
            </w:tcMar>
          </w:tcPr>
          <w:p>
            <w:pPr>
              <w:spacing w:after="20"/>
            </w:pPr>
            <w:r>
              <w:rPr>
                <w:rFonts w:ascii="Aptos" w:hAnsi="Aptos" w:eastAsia="Aptos"/>
                <w:sz w:val="16"/>
              </w:rPr>
              <w:t>Redis</w:t>
            </w:r>
          </w:p>
        </w:tc>
        <w:tc>
          <w:tcPr>
            <w:tcW w:type="dxa" w:w="3900"/>
            <w:tcMar>
              <w:top w:w="65" w:type="dxa"/>
              <w:start w:w="80" w:type="dxa"/>
              <w:bottom w:w="65" w:type="dxa"/>
              <w:end w:w="80" w:type="dxa"/>
            </w:tcMar>
          </w:tcPr>
          <w:p>
            <w:pPr>
              <w:spacing w:after="20"/>
            </w:pPr>
            <w:r>
              <w:rPr>
                <w:rFonts w:ascii="Aptos" w:hAnsi="Aptos" w:eastAsia="Aptos"/>
                <w:sz w:val="16"/>
              </w:rPr>
              <w:t>Encryption at rest supported; required in production. Contains no raw conversation content or PII.</w:t>
            </w:r>
          </w:p>
        </w:tc>
        <w:tc>
          <w:tcPr>
            <w:tcW w:type="dxa" w:w="4100"/>
            <w:tcMar>
              <w:top w:w="65" w:type="dxa"/>
              <w:start w:w="80" w:type="dxa"/>
              <w:bottom w:w="65" w:type="dxa"/>
              <w:end w:w="80" w:type="dxa"/>
            </w:tcMar>
          </w:tcPr>
          <w:p>
            <w:pPr>
              <w:spacing w:after="20"/>
            </w:pPr>
            <w:r>
              <w:rPr>
                <w:rFonts w:ascii="Aptos" w:hAnsi="Aptos" w:eastAsia="Aptos"/>
                <w:sz w:val="16"/>
              </w:rPr>
              <w:t>Private network only; AUTH and TLS in transit required; encryption at rest where supported. No cross-organization keys permitted.</w:t>
            </w:r>
          </w:p>
        </w:tc>
      </w:tr>
    </w:tbl>
    <w:p>
      <w:pPr>
        <w:pStyle w:val="Heading2"/>
        <w:keepNext/>
      </w:pPr>
      <w:r>
        <w:t>4. Final Tradeoff Decision</w:t>
      </w:r>
    </w:p>
    <w:p>
      <w:pPr>
        <w:pStyle w:val="ListNumber"/>
        <w:spacing w:after="30"/>
      </w:pPr>
      <w:r>
        <w:t>Use PostgreSQL for authoritative records and redacted message rows.</w:t>
      </w:r>
    </w:p>
    <w:p>
      <w:pPr>
        <w:pStyle w:val="ListNumber"/>
        <w:spacing w:after="30"/>
      </w:pPr>
      <w:r>
        <w:t>Store binary attachments and model artifacts in object storage regardless of size. Route structured text or JSON files larger than the configurable 100 MB threshold to object storage.</w:t>
      </w:r>
    </w:p>
    <w:p>
      <w:pPr>
        <w:pStyle w:val="ListNumber"/>
        <w:spacing w:after="30"/>
      </w:pPr>
      <w:r>
        <w:t>Let object storage handle multipart upload; create semantic chunks only when AI processing requires them.</w:t>
      </w:r>
    </w:p>
    <w:p>
      <w:pPr>
        <w:pStyle w:val="ListNumber"/>
        <w:spacing w:after="30"/>
      </w:pPr>
      <w:r>
        <w:t>Use Redis or HashMap only for temporary, rebuildable data.</w:t>
      </w:r>
    </w:p>
    <w:p>
      <w:pPr>
        <w:pStyle w:val="ListNumber"/>
        <w:spacing w:after="30"/>
      </w:pPr>
      <w:r>
        <w:t>Keep the design modular so search or high-scale NoSQL services can be added later without replacing PostgreSQL.</w:t>
      </w: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USAII Hackathon 2026 | Database Design and Tradeoff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Database Storage Design and Technology Tradeoff Report</dc:title>
  <dc:subject>USAII Hackathon 2026 database architecture</dc:subject>
  <dc:creator>Chun-Chieh Hsu</dc:creator>
  <cp:keywords>PostgreSQL, object storage, Redis, HashMap, tradeoff</cp:keywords>
  <dc:description>generated by python-docx</dc:description>
  <cp:lastModifiedBy/>
  <cp:revision>1</cp:revision>
  <dcterms:created xsi:type="dcterms:W3CDTF">2013-12-23T23:15:00Z</dcterms:created>
  <dcterms:modified xsi:type="dcterms:W3CDTF">2013-12-23T23:15:00Z</dcterms:modified>
  <cp:category/>
</cp:coreProperties>
</file>