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优化版大学生学习与生活管理平台开发需求提示词（通用完整版）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请以资深产品设计师、全栈开发工程师视角，全程落地开发一款面向大学生的</w:t>
      </w:r>
      <w:r>
        <w:rPr>
          <w:rFonts w:eastAsia="等线" w:ascii="Arial" w:cs="Arial" w:hAnsi="Arial"/>
          <w:b w:val="true"/>
          <w:sz w:val="22"/>
        </w:rPr>
        <w:t>一站式学习与生活综合管理平台</w:t>
      </w:r>
      <w:r>
        <w:rPr>
          <w:rFonts w:eastAsia="等线" w:ascii="Arial" w:cs="Arial" w:hAnsi="Arial"/>
          <w:sz w:val="22"/>
        </w:rPr>
        <w:t>，仅适配Web端使用，严格遵循以下完整需求规范，完成产品设计、UI落地、功能开发、文档输出全流程工作。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一、项目核心定位与开发目标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>：针对性解决大学生课程杂乱、作业考试易遗忘、学习资料分散、日常学习生活无规划的核心痛点，全方位提升学生学习效率，规整大学生活节奏。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产品定位</w:t>
      </w:r>
      <w:r>
        <w:rPr>
          <w:rFonts w:eastAsia="等线" w:ascii="Arial" w:cs="Arial" w:hAnsi="Arial"/>
          <w:sz w:val="22"/>
        </w:rPr>
        <w:t>：集成课程管理、任务提醒、资料整理、学习计划打卡、校园生活服务为一体的轻量化、高效率校园综合工具平台。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核心开发目标</w:t>
      </w:r>
      <w:r>
        <w:rPr>
          <w:rFonts w:eastAsia="等线" w:ascii="Arial" w:cs="Arial" w:hAnsi="Arial"/>
          <w:sz w:val="22"/>
        </w:rPr>
        <w:t>：打造界面清爽、操作极简、功能实用、体验年轻化的大学生刚需Web工具，成为学生日常学习、生活规划的专属数字助手。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二、目标用户群体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核心用户</w:t>
      </w:r>
      <w:r>
        <w:rPr>
          <w:rFonts w:eastAsia="等线" w:ascii="Arial" w:cs="Arial" w:hAnsi="Arial"/>
          <w:sz w:val="22"/>
        </w:rPr>
        <w:t>：全国各高校全日制本科生、研究生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用户特征</w:t>
      </w:r>
      <w:r>
        <w:rPr>
          <w:rFonts w:eastAsia="等线" w:ascii="Arial" w:cs="Arial" w:hAnsi="Arial"/>
          <w:sz w:val="22"/>
        </w:rPr>
        <w:t>：日常多任务并行、时间碎片化、对数字化工具接受度高、追求极简操作、无冗余流程、高颜值轻量化的产品使用体验，主要通过电脑网页端使用平台。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三、设计风格与视觉规范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整体风格</w:t>
      </w:r>
      <w:r>
        <w:rPr>
          <w:rFonts w:eastAsia="等线" w:ascii="Arial" w:cs="Arial" w:hAnsi="Arial"/>
          <w:sz w:val="22"/>
        </w:rPr>
        <w:t>：极简清爽、年轻化、现代化，无复杂装饰、无冗余元素，整体视觉干净舒适，适配网页端浏览交互体验。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色彩规范</w:t>
      </w:r>
      <w:r>
        <w:rPr>
          <w:rFonts w:eastAsia="等线" w:ascii="Arial" w:cs="Arial" w:hAnsi="Arial"/>
          <w:sz w:val="22"/>
        </w:rPr>
        <w:t>：主色调采用蓝色（#165DFF，象征专业、可靠），搭配基础白色（#FFFFFF）、浅灰色（#F5F7FA、#E5E6EB）作为背景及辅助色；仅使用少量橙色（#FF7D00）作为紧急提醒、核心交互按钮强调色，严控色彩数量，避免视觉杂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页面布局</w:t>
      </w:r>
      <w:r>
        <w:rPr>
          <w:rFonts w:eastAsia="等线" w:ascii="Arial" w:cs="Arial" w:hAnsi="Arial"/>
          <w:sz w:val="22"/>
        </w:rPr>
        <w:t>：首页采用模块化卡片式布局，功能分区清晰、信息层级明确，用户进入页面可快速抓取今日课程、待办任务、近期考试、重要通知等核心信息，适配网页端大屏展示逻辑。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字体规范</w:t>
      </w:r>
      <w:r>
        <w:rPr>
          <w:rFonts w:eastAsia="等线" w:ascii="Arial" w:cs="Arial" w:hAnsi="Arial"/>
          <w:sz w:val="22"/>
        </w:rPr>
        <w:t>：统一使用Inter、思源黑体无衬线字体，保障网页端全场景高清可读性。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图标规范</w:t>
      </w:r>
      <w:r>
        <w:rPr>
          <w:rFonts w:eastAsia="等线" w:ascii="Arial" w:cs="Arial" w:hAnsi="Arial"/>
          <w:sz w:val="22"/>
        </w:rPr>
        <w:t>：全线采用简约线性图标，风格统一、辨识度高、通俗易懂，适配网页端交互尺寸。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四、核心功能模块开发规范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课程表管理模块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支持课程信息自定义录入与批量导入，自动生成标准化课表，配套提醒与辅助功能，满足学生日常上课管理需求。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课程录入</w:t>
      </w:r>
      <w:r>
        <w:rPr>
          <w:rFonts w:eastAsia="等线" w:ascii="Arial" w:cs="Arial" w:hAnsi="Arial"/>
          <w:sz w:val="22"/>
        </w:rPr>
        <w:t>：支持手动录入课程名称、上课时间、授课地点、任课老师、学分、课程类型等完整信息；支持Excel/CSV格式课程数据批量导入导出。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课表展示</w:t>
      </w:r>
      <w:r>
        <w:rPr>
          <w:rFonts w:eastAsia="等线" w:ascii="Arial" w:cs="Arial" w:hAnsi="Arial"/>
          <w:sz w:val="22"/>
        </w:rPr>
        <w:t>：默认周视图展示，支持自由切换日视图、月视图；不同课程自动匹配不同配色，区分清晰、一目了然，适配网页端大屏完整展示。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提醒机制（核心修改）</w:t>
      </w:r>
      <w:r>
        <w:rPr>
          <w:rFonts w:eastAsia="等线" w:ascii="Arial" w:cs="Arial" w:hAnsi="Arial"/>
          <w:sz w:val="22"/>
        </w:rPr>
        <w:t>：支持用户自定义上课提醒时间（课前15分钟/30分钟/1小时等），</w:t>
      </w:r>
      <w:r>
        <w:rPr>
          <w:rFonts w:eastAsia="等线" w:ascii="Arial" w:cs="Arial" w:hAnsi="Arial"/>
          <w:b w:val="true"/>
          <w:sz w:val="22"/>
        </w:rPr>
        <w:t>取消手机推送，采用「站内通知+绑定邮箱邮件提醒」双通知模式</w:t>
      </w:r>
      <w:r>
        <w:rPr>
          <w:rFonts w:eastAsia="等线" w:ascii="Arial" w:cs="Arial" w:hAnsi="Arial"/>
          <w:sz w:val="22"/>
        </w:rPr>
        <w:t>，确保用户及时接收上课提醒。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辅助功能</w:t>
      </w:r>
      <w:r>
        <w:rPr>
          <w:rFonts w:eastAsia="等线" w:ascii="Arial" w:cs="Arial" w:hAnsi="Arial"/>
          <w:sz w:val="22"/>
        </w:rPr>
        <w:t>：自动检测课程时间冲突、支持课表一键分享、课程备注编辑、调课记录留存与查看。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作业与考试提醒模块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按课程分类管理各类学习任务，通过时间排序、紧急度标记、多级邮箱提醒，杜绝任务遗漏。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任务录入</w:t>
      </w:r>
      <w:r>
        <w:rPr>
          <w:rFonts w:eastAsia="等线" w:ascii="Arial" w:cs="Arial" w:hAnsi="Arial"/>
          <w:sz w:val="22"/>
        </w:rPr>
        <w:t>：可按对应课程分类添加作业、实验报告、课程论文、期末考试、随堂测验等任务，支持填写截止时间、考试时间、提交方式、成绩占比、任务备注等信息。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任务展示</w:t>
      </w:r>
      <w:r>
        <w:rPr>
          <w:rFonts w:eastAsia="等线" w:ascii="Arial" w:cs="Arial" w:hAnsi="Arial"/>
          <w:sz w:val="22"/>
        </w:rPr>
        <w:t>：所有待办任务按截止时间倒序排列，自动区分紧急等级并配色标注：红色（24小时内截止）、黄色（7天内截止）、灰色（7天以上截止），网页端列表清晰分页展示。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多级邮箱提醒（核心修改）</w:t>
      </w:r>
      <w:r>
        <w:rPr>
          <w:rFonts w:eastAsia="等线" w:ascii="Arial" w:cs="Arial" w:hAnsi="Arial"/>
          <w:sz w:val="22"/>
        </w:rPr>
        <w:t>：支持自定义多级提醒节点（截止前3天/1天/1小时、考试前1天/3小时等），所有提醒信息</w:t>
      </w:r>
      <w:r>
        <w:rPr>
          <w:rFonts w:eastAsia="等线" w:ascii="Arial" w:cs="Arial" w:hAnsi="Arial"/>
          <w:b w:val="true"/>
          <w:sz w:val="22"/>
        </w:rPr>
        <w:t>同步推送至用户绑定邮箱+站内消息中心</w:t>
      </w:r>
      <w:r>
        <w:rPr>
          <w:rFonts w:eastAsia="等线" w:ascii="Arial" w:cs="Arial" w:hAnsi="Arial"/>
          <w:sz w:val="22"/>
        </w:rPr>
        <w:t>，无手机推送渠道。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任务状态管理</w:t>
      </w:r>
      <w:r>
        <w:rPr>
          <w:rFonts w:eastAsia="等线" w:ascii="Arial" w:cs="Arial" w:hAnsi="Arial"/>
          <w:sz w:val="22"/>
        </w:rPr>
        <w:t>：支持手动标记任务为「未开始/进行中/已完成」，已完成任务自动归档，支持历史任务回溯查看。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考试日历</w:t>
      </w:r>
      <w:r>
        <w:rPr>
          <w:rFonts w:eastAsia="等线" w:ascii="Arial" w:cs="Arial" w:hAnsi="Arial"/>
          <w:sz w:val="22"/>
        </w:rPr>
        <w:t>：自动生成学期考试日历，支持导出图片、PDF格式，方便用户保存与分享。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 学习资料管理模块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实现学习资料分类存储、快速检索、在线预览与分享，解决资料零散、查找困难的问题，适配网页端文件高效管理。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分类存储</w:t>
      </w:r>
      <w:r>
        <w:rPr>
          <w:rFonts w:eastAsia="等线" w:ascii="Arial" w:cs="Arial" w:hAnsi="Arial"/>
          <w:sz w:val="22"/>
        </w:rPr>
        <w:t>：支持按课程、章节、文件类型（PPT、PDF、Word、代码文件、实验文档、视频等）精细化分类归档。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上传方式</w:t>
      </w:r>
      <w:r>
        <w:rPr>
          <w:rFonts w:eastAsia="等线" w:ascii="Arial" w:cs="Arial" w:hAnsi="Arial"/>
          <w:sz w:val="22"/>
        </w:rPr>
        <w:t>：支持本地文件上传、云盘链接导入、拍照上传三种录入方式，适配网页端文件上传逻辑。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快速检索</w:t>
      </w:r>
      <w:r>
        <w:rPr>
          <w:rFonts w:eastAsia="等线" w:ascii="Arial" w:cs="Arial" w:hAnsi="Arial"/>
          <w:sz w:val="22"/>
        </w:rPr>
        <w:t>：支持通过文件名、关键词、上传时间、对应课程筛选搜索资料，网页端支持精准检索、批量筛选。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在线预览</w:t>
      </w:r>
      <w:r>
        <w:rPr>
          <w:rFonts w:eastAsia="等线" w:ascii="Arial" w:cs="Arial" w:hAnsi="Arial"/>
          <w:sz w:val="22"/>
        </w:rPr>
        <w:t>：兼容主流文件格式在线预览，无需下载即可查看内容，适配网页端全屏预览、缩放查看功能。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资料分享</w:t>
      </w:r>
      <w:r>
        <w:rPr>
          <w:rFonts w:eastAsia="等线" w:ascii="Arial" w:cs="Arial" w:hAnsi="Arial"/>
          <w:sz w:val="22"/>
        </w:rPr>
        <w:t>：支持生成专属分享链接，便捷分享课程资料给同班同学。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 学习打卡与计划模块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支持自定义学习目标与日常习惯打卡，配套数据统计与学习报告，帮助学生养成持续学习习惯。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目标设置</w:t>
      </w:r>
      <w:r>
        <w:rPr>
          <w:rFonts w:eastAsia="等线" w:ascii="Arial" w:cs="Arial" w:hAnsi="Arial"/>
          <w:sz w:val="22"/>
        </w:rPr>
        <w:t>：支持自定义每日、每周、每月学习目标，涵盖背单词、刷题、专业课复习、实验练习等各类学习场景。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打卡记录</w:t>
      </w:r>
      <w:r>
        <w:rPr>
          <w:rFonts w:eastAsia="等线" w:ascii="Arial" w:cs="Arial" w:hAnsi="Arial"/>
          <w:sz w:val="22"/>
        </w:rPr>
        <w:t>：目标完成后支持一键打卡，可附加学习笔记、心得记录。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数据可视化</w:t>
      </w:r>
      <w:r>
        <w:rPr>
          <w:rFonts w:eastAsia="等线" w:ascii="Arial" w:cs="Arial" w:hAnsi="Arial"/>
          <w:sz w:val="22"/>
        </w:rPr>
        <w:t>：自动统计连续打卡天数、每日/每周学习时长、各科目学习时间占比，生成可视化统计图表，网页端图表展示完整清晰。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学习报告</w:t>
      </w:r>
      <w:r>
        <w:rPr>
          <w:rFonts w:eastAsia="等线" w:ascii="Arial" w:cs="Arial" w:hAnsi="Arial"/>
          <w:sz w:val="22"/>
        </w:rPr>
        <w:t>：自动生成周度、月度学习报告，梳理学习情况，辅助用户调整学习计划，支持网页端在线查看与导出。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通用习惯打卡</w:t>
      </w:r>
      <w:r>
        <w:rPr>
          <w:rFonts w:eastAsia="等线" w:ascii="Arial" w:cs="Arial" w:hAnsi="Arial"/>
          <w:sz w:val="22"/>
        </w:rPr>
        <w:t>：支持自定义早起、运动、阅读等日常习惯打卡，不止局限于学习场景。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五、用户体验核心要求</w:t>
      </w:r>
      <w:bookmarkEnd w:id="9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极简操作</w:t>
      </w:r>
      <w:r>
        <w:rPr>
          <w:rFonts w:eastAsia="等线" w:ascii="Arial" w:cs="Arial" w:hAnsi="Arial"/>
          <w:sz w:val="22"/>
        </w:rPr>
        <w:t>：添加任务、上传资料、查看课表、发布校园信息等所有核心操作，控制在3步以内完成，无繁琐流程。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新手引导</w:t>
      </w:r>
      <w:r>
        <w:rPr>
          <w:rFonts w:eastAsia="等线" w:ascii="Arial" w:cs="Arial" w:hAnsi="Arial"/>
          <w:sz w:val="22"/>
        </w:rPr>
        <w:t>：新用户首次登录提供轻量化交互式新手引导，快速熟悉平台核心功能。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网页端适配</w:t>
      </w:r>
      <w:r>
        <w:rPr>
          <w:rFonts w:eastAsia="等线" w:ascii="Arial" w:cs="Arial" w:hAnsi="Arial"/>
          <w:sz w:val="22"/>
        </w:rPr>
        <w:t>：采用响应式设计，适配电脑不同分辨率屏幕，兼容主流浏览器（Chrome、Edge、Firefox）。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极速加载</w:t>
      </w:r>
      <w:r>
        <w:rPr>
          <w:rFonts w:eastAsia="等线" w:ascii="Arial" w:cs="Arial" w:hAnsi="Arial"/>
          <w:sz w:val="22"/>
        </w:rPr>
        <w:t>：所有页面加载时长≤2秒，页面滑动、功能切换无卡顿、无延迟，适配网页端流畅交互。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个性化设置</w:t>
      </w:r>
      <w:r>
        <w:rPr>
          <w:rFonts w:eastAsia="等线" w:ascii="Arial" w:cs="Arial" w:hAnsi="Arial"/>
          <w:sz w:val="22"/>
        </w:rPr>
        <w:t>：支持自定义主题配色、邮箱提醒时段、首页卡片展示顺序，适配用户使用习惯。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数据安全</w:t>
      </w:r>
      <w:r>
        <w:rPr>
          <w:rFonts w:eastAsia="等线" w:ascii="Arial" w:cs="Arial" w:hAnsi="Arial"/>
          <w:sz w:val="22"/>
        </w:rPr>
        <w:t>：严格保障用户数据隐私与安全，支持用户数据手动备份、云端自动备份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六、技术与扩展性要求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前端技术栈</w:t>
      </w:r>
      <w:r>
        <w:rPr>
          <w:rFonts w:eastAsia="等线" w:ascii="Arial" w:cs="Arial" w:hAnsi="Arial"/>
          <w:sz w:val="22"/>
        </w:rPr>
        <w:t>：仅开发Web端，推荐使用 Vue3/React + TypeScript + 主流UI组件库开发，页面轻量化、高性能。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后端技术栈</w:t>
      </w:r>
      <w:r>
        <w:rPr>
          <w:rFonts w:eastAsia="等线" w:ascii="Arial" w:cs="Arial" w:hAnsi="Arial"/>
          <w:sz w:val="22"/>
        </w:rPr>
        <w:t>：使用 Python开发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数据库</w:t>
      </w:r>
      <w:r>
        <w:rPr>
          <w:rFonts w:eastAsia="等线" w:ascii="Arial" w:cs="Arial" w:hAnsi="Arial"/>
          <w:sz w:val="22"/>
        </w:rPr>
        <w:t>：使用 MySQL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云服务</w:t>
      </w:r>
      <w:r>
        <w:rPr>
          <w:rFonts w:eastAsia="等线" w:ascii="Arial" w:cs="Arial" w:hAnsi="Arial"/>
          <w:sz w:val="22"/>
        </w:rPr>
        <w:t>：接入云存储服务，用于存储用户上传的各类学习资料、文件数据。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扩展性</w:t>
      </w:r>
      <w:r>
        <w:rPr>
          <w:rFonts w:eastAsia="等线" w:ascii="Arial" w:cs="Arial" w:hAnsi="Arial"/>
          <w:sz w:val="22"/>
        </w:rPr>
        <w:t>：预留完整API接口，支持后期迭代新增功能，无需重构主体架构。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后期迭代规划</w:t>
      </w:r>
      <w:r>
        <w:rPr>
          <w:rFonts w:eastAsia="等线" w:ascii="Arial" w:cs="Arial" w:hAnsi="Arial"/>
          <w:sz w:val="22"/>
        </w:rPr>
        <w:t>：后续仅迭代Web端功能，包含AI助手资料总结、智能复习计划、学习小组协作、成绩管理分析等拓展功能。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七、交付要求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完整的Web端产品原型图（包含所有页面、弹窗、交互流程）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适配网页端的高保真UI设计稿（Figma格式）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完整Web端前端代码、后端代码，可直接部署运行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配套完整技术开发文档、用户Web端使用手册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379">
    <w:lvl>
      <w:numFmt w:val="bullet"/>
      <w:suff w:val="tab"/>
      <w:lvlText w:val="•"/>
      <w:rPr>
        <w:color w:val="3370ff"/>
      </w:rPr>
    </w:lvl>
  </w:abstractNum>
  <w:abstractNum w:abstractNumId="40380">
    <w:lvl>
      <w:numFmt w:val="bullet"/>
      <w:suff w:val="tab"/>
      <w:lvlText w:val="•"/>
      <w:rPr>
        <w:color w:val="3370ff"/>
      </w:rPr>
    </w:lvl>
  </w:abstractNum>
  <w:abstractNum w:abstractNumId="40381">
    <w:lvl>
      <w:numFmt w:val="bullet"/>
      <w:suff w:val="tab"/>
      <w:lvlText w:val="•"/>
      <w:rPr>
        <w:color w:val="3370ff"/>
      </w:rPr>
    </w:lvl>
  </w:abstractNum>
  <w:abstractNum w:abstractNumId="40382">
    <w:lvl>
      <w:numFmt w:val="bullet"/>
      <w:suff w:val="tab"/>
      <w:lvlText w:val="•"/>
      <w:rPr>
        <w:color w:val="3370ff"/>
      </w:rPr>
    </w:lvl>
  </w:abstractNum>
  <w:abstractNum w:abstractNumId="40383">
    <w:lvl>
      <w:numFmt w:val="bullet"/>
      <w:suff w:val="tab"/>
      <w:lvlText w:val="•"/>
      <w:rPr>
        <w:color w:val="3370ff"/>
      </w:rPr>
    </w:lvl>
  </w:abstractNum>
  <w:abstractNum w:abstractNumId="40384">
    <w:lvl>
      <w:numFmt w:val="bullet"/>
      <w:suff w:val="tab"/>
      <w:lvlText w:val="•"/>
      <w:rPr>
        <w:color w:val="3370ff"/>
      </w:rPr>
    </w:lvl>
  </w:abstractNum>
  <w:abstractNum w:abstractNumId="40385">
    <w:lvl>
      <w:numFmt w:val="bullet"/>
      <w:suff w:val="tab"/>
      <w:lvlText w:val="•"/>
      <w:rPr>
        <w:color w:val="3370ff"/>
      </w:rPr>
    </w:lvl>
  </w:abstractNum>
  <w:abstractNum w:abstractNumId="40386">
    <w:lvl>
      <w:numFmt w:val="bullet"/>
      <w:suff w:val="tab"/>
      <w:lvlText w:val="•"/>
      <w:rPr>
        <w:color w:val="3370ff"/>
      </w:rPr>
    </w:lvl>
  </w:abstractNum>
  <w:abstractNum w:abstractNumId="40387">
    <w:lvl>
      <w:numFmt w:val="bullet"/>
      <w:suff w:val="tab"/>
      <w:lvlText w:val="•"/>
      <w:rPr>
        <w:color w:val="3370ff"/>
      </w:rPr>
    </w:lvl>
  </w:abstractNum>
  <w:abstractNum w:abstractNumId="40388">
    <w:lvl>
      <w:numFmt w:val="bullet"/>
      <w:suff w:val="tab"/>
      <w:lvlText w:val="•"/>
      <w:rPr>
        <w:color w:val="3370ff"/>
      </w:rPr>
    </w:lvl>
  </w:abstractNum>
  <w:abstractNum w:abstractNumId="40389">
    <w:lvl>
      <w:numFmt w:val="bullet"/>
      <w:suff w:val="tab"/>
      <w:lvlText w:val="•"/>
      <w:rPr>
        <w:color w:val="3370ff"/>
      </w:rPr>
    </w:lvl>
  </w:abstractNum>
  <w:abstractNum w:abstractNumId="40390">
    <w:lvl>
      <w:numFmt w:val="bullet"/>
      <w:suff w:val="tab"/>
      <w:lvlText w:val="•"/>
      <w:rPr>
        <w:color w:val="3370ff"/>
      </w:rPr>
    </w:lvl>
  </w:abstractNum>
  <w:abstractNum w:abstractNumId="40391">
    <w:lvl>
      <w:numFmt w:val="bullet"/>
      <w:suff w:val="tab"/>
      <w:lvlText w:val="•"/>
      <w:rPr>
        <w:color w:val="3370ff"/>
      </w:rPr>
    </w:lvl>
  </w:abstractNum>
  <w:abstractNum w:abstractNumId="40392">
    <w:lvl>
      <w:numFmt w:val="bullet"/>
      <w:suff w:val="tab"/>
      <w:lvlText w:val="•"/>
      <w:rPr>
        <w:color w:val="3370ff"/>
      </w:rPr>
    </w:lvl>
  </w:abstractNum>
  <w:abstractNum w:abstractNumId="40393">
    <w:lvl>
      <w:numFmt w:val="bullet"/>
      <w:suff w:val="tab"/>
      <w:lvlText w:val="•"/>
      <w:rPr>
        <w:color w:val="3370ff"/>
      </w:rPr>
    </w:lvl>
  </w:abstractNum>
  <w:abstractNum w:abstractNumId="40394">
    <w:lvl>
      <w:numFmt w:val="bullet"/>
      <w:suff w:val="tab"/>
      <w:lvlText w:val="•"/>
      <w:rPr>
        <w:color w:val="3370ff"/>
      </w:rPr>
    </w:lvl>
  </w:abstractNum>
  <w:abstractNum w:abstractNumId="40395">
    <w:lvl>
      <w:numFmt w:val="bullet"/>
      <w:suff w:val="tab"/>
      <w:lvlText w:val="•"/>
      <w:rPr>
        <w:color w:val="3370ff"/>
      </w:rPr>
    </w:lvl>
  </w:abstractNum>
  <w:abstractNum w:abstractNumId="40396">
    <w:lvl>
      <w:numFmt w:val="bullet"/>
      <w:suff w:val="tab"/>
      <w:lvlText w:val="•"/>
      <w:rPr>
        <w:color w:val="3370ff"/>
      </w:rPr>
    </w:lvl>
  </w:abstractNum>
  <w:abstractNum w:abstractNumId="40397">
    <w:lvl>
      <w:numFmt w:val="bullet"/>
      <w:suff w:val="tab"/>
      <w:lvlText w:val="•"/>
      <w:rPr>
        <w:color w:val="3370ff"/>
      </w:rPr>
    </w:lvl>
  </w:abstractNum>
  <w:abstractNum w:abstractNumId="40398">
    <w:lvl>
      <w:start w:val="1"/>
      <w:numFmt w:val="decimal"/>
      <w:suff w:val="tab"/>
      <w:lvlText w:val="%1."/>
      <w:rPr>
        <w:color w:val="3370ff"/>
      </w:rPr>
    </w:lvl>
  </w:abstractNum>
  <w:abstractNum w:abstractNumId="40399">
    <w:lvl>
      <w:start w:val="2"/>
      <w:numFmt w:val="decimal"/>
      <w:suff w:val="tab"/>
      <w:lvlText w:val="%1."/>
      <w:rPr>
        <w:color w:val="3370ff"/>
      </w:rPr>
    </w:lvl>
  </w:abstractNum>
  <w:abstractNum w:abstractNumId="40400">
    <w:lvl>
      <w:start w:val="3"/>
      <w:numFmt w:val="decimal"/>
      <w:suff w:val="tab"/>
      <w:lvlText w:val="%1."/>
      <w:rPr>
        <w:color w:val="3370ff"/>
      </w:rPr>
    </w:lvl>
  </w:abstractNum>
  <w:abstractNum w:abstractNumId="40401">
    <w:lvl>
      <w:start w:val="4"/>
      <w:numFmt w:val="decimal"/>
      <w:suff w:val="tab"/>
      <w:lvlText w:val="%1."/>
      <w:rPr>
        <w:color w:val="3370ff"/>
      </w:rPr>
    </w:lvl>
  </w:abstractNum>
  <w:abstractNum w:abstractNumId="40402">
    <w:lvl>
      <w:start w:val="5"/>
      <w:numFmt w:val="decimal"/>
      <w:suff w:val="tab"/>
      <w:lvlText w:val="%1."/>
      <w:rPr>
        <w:color w:val="3370ff"/>
      </w:rPr>
    </w:lvl>
  </w:abstractNum>
  <w:abstractNum w:abstractNumId="40403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40379"/>
  </w:num>
  <w:num w:numId="2">
    <w:abstractNumId w:val="40380"/>
  </w:num>
  <w:num w:numId="3">
    <w:abstractNumId w:val="40381"/>
  </w:num>
  <w:num w:numId="4">
    <w:abstractNumId w:val="40382"/>
  </w:num>
  <w:num w:numId="5">
    <w:abstractNumId w:val="40383"/>
  </w:num>
  <w:num w:numId="6">
    <w:abstractNumId w:val="40384"/>
  </w:num>
  <w:num w:numId="7">
    <w:abstractNumId w:val="40385"/>
  </w:num>
  <w:num w:numId="8">
    <w:abstractNumId w:val="40386"/>
  </w:num>
  <w:num w:numId="9">
    <w:abstractNumId w:val="40387"/>
  </w:num>
  <w:num w:numId="10">
    <w:abstractNumId w:val="40388"/>
  </w:num>
  <w:num w:numId="11">
    <w:abstractNumId w:val="40389"/>
  </w:num>
  <w:num w:numId="12">
    <w:abstractNumId w:val="40390"/>
  </w:num>
  <w:num w:numId="13">
    <w:abstractNumId w:val="40391"/>
  </w:num>
  <w:num w:numId="14">
    <w:abstractNumId w:val="40392"/>
  </w:num>
  <w:num w:numId="15">
    <w:abstractNumId w:val="40393"/>
  </w:num>
  <w:num w:numId="16">
    <w:abstractNumId w:val="40394"/>
  </w:num>
  <w:num w:numId="17">
    <w:abstractNumId w:val="40395"/>
  </w:num>
  <w:num w:numId="18">
    <w:abstractNumId w:val="40396"/>
  </w:num>
  <w:num w:numId="19">
    <w:abstractNumId w:val="40397"/>
  </w:num>
  <w:num w:numId="20">
    <w:abstractNumId w:val="40398"/>
  </w:num>
  <w:num w:numId="21">
    <w:abstractNumId w:val="40399"/>
  </w:num>
  <w:num w:numId="22">
    <w:abstractNumId w:val="40400"/>
  </w:num>
  <w:num w:numId="23">
    <w:abstractNumId w:val="40401"/>
  </w:num>
  <w:num w:numId="24">
    <w:abstractNumId w:val="40402"/>
  </w:num>
  <w:num w:numId="25">
    <w:abstractNumId w:val="404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2026-05-25T09:05:51Z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{"Label":"1","ContentProducer":"001191110102MACQD9K64010000","ProduceID":"7643753069264702674","ReservedCode1":"","ContentPropagator":"","PropagateID":"","ReservedCode2":""}</vt:lpwstr>
  </property>
</Properties>
</file>