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请问贵公司与成都银行有哪些业务往来？谢谢！</w:t>
      </w:r>
    </w:p>
    <w:p>
      <w:r>
        <w:t>回答: 重庆银行：尊敬的投资者，您好！本行与成都银行同为银行业金融机构，在法律法规和监管规则要求下，合规开展正常业务往来。 感谢您对本行的关注！2024-08-15 18:12:00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化</w:t>
      </w:r>
      <w:r>
        <w:rPr>
          <w:rFonts w:ascii="微软雅黑" w:hAnsi="微软雅黑" w:eastAsia="微软雅黑"/>
          <w:b/>
          <w:color w:val="4682B4"/>
          <w:sz w:val="32"/>
        </w:rPr>
        <w:t>集</w:t>
      </w:r>
      <w:r>
        <w:rPr>
          <w:rFonts w:ascii="微软雅黑" w:hAnsi="微软雅黑" w:eastAsia="微软雅黑"/>
          <w:b/>
          <w:color w:val="4682B4"/>
          <w:sz w:val="32"/>
        </w:rPr>
        <w:t>团</w:t>
      </w:r>
    </w:p>
    <w:p>
      <w:r>
        <w:t>问题: 董秘你好，请问公司西南的客户有哪些？</w:t>
      </w:r>
    </w:p>
    <w:p>
      <w:r>
        <w:t>回答: 盛景微：尊敬的投资者，您好，公司西南地区主要客户有雅化集团、宜宾威力、云南民爆集团等民爆行业知名企业，未来也将加强同西南地区的合作，详情可关注公司披露的定期报告等相关公告，感谢您对公司的关注和支持！2024-08-15 14:56:00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化</w:t>
      </w:r>
      <w:r>
        <w:rPr>
          <w:rFonts w:ascii="微软雅黑" w:hAnsi="微软雅黑" w:eastAsia="微软雅黑"/>
          <w:b/>
          <w:color w:val="4682B4"/>
          <w:sz w:val="32"/>
        </w:rPr>
        <w:t>集</w:t>
      </w:r>
      <w:r>
        <w:rPr>
          <w:rFonts w:ascii="微软雅黑" w:hAnsi="微软雅黑" w:eastAsia="微软雅黑"/>
          <w:b/>
          <w:color w:val="4682B4"/>
          <w:sz w:val="32"/>
        </w:rPr>
        <w:t>团</w:t>
      </w:r>
    </w:p>
    <w:p>
      <w:r>
        <w:t>问题: 请问公司领导，目前公司与哪些民爆企业有合作？</w:t>
      </w:r>
    </w:p>
    <w:p>
      <w:r>
        <w:t>回答: 盛景微：尊敬的投资者，您好，公司目前与北方特能、雅化集团、壶化股份、凯龙股份、宜宾威力、前进民爆、易普力等多家民爆行业知名企业建立了合作关系，其他新客户情况可关注公司披露的定期报告等相关公告，感谢您对公司的关注和支持！2024-08-15 14:55:00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公司新总经理公开对外竞聘吗？建议考虑新能源汽车领域比如小米，鸿蒙智行等优秀科技人才带领企业创新发展。</w:t>
      </w:r>
    </w:p>
    <w:p>
      <w:r>
        <w:t>回答: 成飞集成：感谢您的关注及建议！2024-08-15 15:30:26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请问截止7月末股东人数，谢谢</w:t>
      </w:r>
    </w:p>
    <w:p>
      <w:r>
        <w:t>回答: 海天股份：尊敬的投资者您好！截止7月末股东持有人数为26805人。感谢您的关注与提问。2024-08-15 16:04:00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董秘您好，请问公司目前私募股权管理基金总额达到多少？</w:t>
      </w:r>
    </w:p>
    <w:p>
      <w:r>
        <w:t>回答: 四川双马：您好，公司通过二级子公司西藏锦合管理和谐锦豫、和谐锦弘及和谐绿色产业基金共三只私募股权投资基金，目前在管基金规模近 280 亿元，和谐锦豫的投资方向包括但不限于互联网、大健康、先进制造、跨境电商、新能源、消费和服务等；和谐锦弘的投资方向为先进制造与新能源行业，包括光伏、芯片设计制造、消费电子、智能装备、工业自动化、新能源、无人驾驶、半导体设备等；和谐绿色产业基金的投资方向重点关注智能制造、半导体、清洁能源及技术、消费和服务等上下游领域。 感谢您对公司的关注。2024-08-15 16:09:35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p>
    <w:p>
      <w:r>
        <w:t>问题: 陈董秘，公司终审进入到了那一步了能否告知？</w:t>
      </w:r>
    </w:p>
    <w:p>
      <w:r>
        <w:t>回答: 唐源电气：尊敬的投资者，您好！本案一审判决结果为驳回原告诉讼请求。二审已开庭审理，尚未判决。公司一直在积极努力推动尽快结案。公司将继续密切关注案件进展，及时履行信息披露义务，全力维护公司和股东合法权益。感谢您的关注。2024-08-15 18:57:49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p>
    <w:p>
      <w:r>
        <w:t>问题: 建议公司不要搞草铵膦，国内产能超大，已经杀得一塌糊涂，龙头企业利尔化学等利润大幅下降，国际上巴斯夫也计划关停产线。聚焦主业吧</w:t>
      </w:r>
    </w:p>
    <w:p>
      <w:r>
        <w:t>回答: 新和成：尊敬的投资者您好！感谢您对公司的关注与建议！2024-08-15 20:24:37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p>
    <w:p>
      <w:r>
        <w:t>问题: 尊敬的董秘，您好！请问贵司电磁制动器目前主要应用于哪些领域，公司在电磁制动器领域国内和国际有对标公司或者同等竞争的公司吗？</w:t>
      </w:r>
    </w:p>
    <w:p>
      <w:r>
        <w:t>回答: 瑞迪智驱：尊敬的投资者，您好。公司电磁制动器广泛应用于数控机床、机器人、电梯等领域，具体竞争公司请参见已披露的招股说明书，谢谢。2024-08-15 15:24:26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sic这部分订单怎么样了，公司这不光是新能源新签下滑吗？</w:t>
      </w:r>
    </w:p>
    <w:p>
      <w:r>
        <w:t>回答: 英杰电气：您好！公司电源业务涉及40多个细分行业，各个细分行业发展情况不一样，订单同比有增有减，都是非常正常的现象。您提到的碳化硅行业属于公司半导体等电子材料行业，半导体等电子材料行业因为射频电源业务的持续放量，确实也是呈现快速增长的状态，请您正确理解，谢谢您的关注。2024-08-15 15:32:44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公司应受账款问题很大，为啥一直不披露？</w:t>
      </w:r>
    </w:p>
    <w:p>
      <w:r>
        <w:t>回答: 英杰电气：您好！我们理解您说的“应受账款”实为“应收账款”，应收账款公司每次定期报告中均有披露，半年度的应收账款也将在公司半年度报告中披露，公司需要遵守监管规定和披露要求，所以请稍安勿躁。另外从您今天提的两个问题的内容来看，您属于风控意识比较高的投资者，对所投资公司所处行业也算有所了解，就投资而言，这是很好的一种习惯，给您点赞！但您提问中直接主观定性我们认为略欠妥当，您如果确实已经有了自己的判断，完全可以依照自己的判断去指导自己的操作，用提问去带节奏，不管您是有意无意，总归不太好，谢谢您的关注。2024-08-15 15:25:07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黄</w:t>
      </w:r>
      <w:r>
        <w:rPr>
          <w:rFonts w:ascii="微软雅黑" w:hAnsi="微软雅黑" w:eastAsia="微软雅黑"/>
          <w:b/>
          <w:color w:val="4682B4"/>
          <w:sz w:val="32"/>
        </w:rPr>
        <w:t>金</w:t>
      </w:r>
    </w:p>
    <w:p>
      <w:r>
        <w:t>问题: 你好，截止目前的股东人数是多少？</w:t>
      </w:r>
    </w:p>
    <w:p>
      <w:r>
        <w:t>回答: 四川黄金：你好，截止目前的股东人数是多少？ 回复：您好。根据公司2024年4月26日披露的公司2024年第一季度报告，截至2024年3月31日，公司股东总户数38,434户。公司拟于2024年8月24日披露公司2024年半年度报告，届时将披露截至2024年6月30日的有关股东信息，请您关注！2024-08-15 15:18:21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您好，尊敬的董秘，请问一汽浩物旗下，网约车业务的车辆数量规模是多少呢，对未来无人驾驶出租车有什么样的业务布局呢？</w:t>
      </w:r>
    </w:p>
    <w:p>
      <w:r>
        <w:t>回答: 浩物股份：尊敬的投资者，您好。有关公司情况，请投资者关注公司公告。谢谢。2024-08-15 17:43:28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贵公司好，投资者研究发现公司在一汽浩物科技公司投资占比达42 ％左右，并提前几年布局网约车，请问一汽出行近年来给公司带来多少投资收益和回报？</w:t>
      </w:r>
    </w:p>
    <w:p>
      <w:r>
        <w:t>回答: 浩物股份：尊敬的投资者，您好。有关公司情况，请投资者关注公司公告。谢谢。2024-08-15 17:43:14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森</w:t>
      </w:r>
      <w:r>
        <w:rPr>
          <w:rFonts w:ascii="微软雅黑" w:hAnsi="微软雅黑" w:eastAsia="微软雅黑"/>
          <w:b/>
          <w:color w:val="4682B4"/>
          <w:sz w:val="32"/>
        </w:rPr>
        <w:t>美</w:t>
      </w:r>
    </w:p>
    <w:p>
      <w:r>
        <w:t>问题: 尊敬的董秘，您好！目前公司的限售股为高管锁定股，按照相关规定公司董事、监事、高级管理人员任职期间每年按其上年末持股数的25%解除限售。但是自2020-10-19以来，公司的流通股一直为2.98亿股没有变化，请问是什么原因？是限售股还没有到解除限售的时间吗？</w:t>
      </w:r>
    </w:p>
    <w:p>
      <w:r>
        <w:t>回答: 富森美：尊敬的投资者，您好！董事、监事、高级管理人员任职期间每年按其上年末持股数的25%解除限售，若上年末相关人员未进行增持或减持，则总体解除限售的股数不变，具体规定请参阅《上市公司董事、监事和高级管理人员所持本公司股份及其变动管理规则（2024年修订）》，谢谢！2024-08-15 15:25:01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请问高投集团主导高投电子借高新进入资本市场的迫切性如何？还是两家子公司各自发展自己的核心业务？</w:t>
      </w:r>
    </w:p>
    <w:p>
      <w:r>
        <w:t>回答: 高新发展：您好，感谢您对公司的关注。公司将坚定战略转型目标，聚焦主责主业，不断提升经营质效。公司如有达到披露标准的信息，将按规定在《中国证券报》、《证券时报》、《上海证券报》、《证券日报》和巨潮资讯网站（www.cninfo.com.cn）披露，谢谢！2024-08-15 17:28:44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请问公司同国新资本签订战略合作,国新资本是否会通过资本市场增持公司股票,另外北京金丰科华房产的事进展如何?如果债权人5年后或10年后始终无法达成一致,那是不是一直就是这么拖着,如何解决应该有一个截止日期吧</w:t>
      </w:r>
    </w:p>
    <w:p>
      <w:r>
        <w:t>回答: 电科网安：尊敬的投资者，您好，公司与国新资本的战略合作框架协议进一步明确了双方在网络安全保险、数据安全及金融行业信息技术应用创新等领域的合作目标与发展共识。公司一直持续密切跟进并积极处置北京房产纠纷，尤其关注法院、破产管理人主导下的整体化解相关工作，并积极在破产案件及其他相关程序中主张权利，力争最大限度维护公司合法权益，公司后续也将及时履行信息披露义务，谢谢您的关注。2024-08-15 20:08:43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董秘您好:近期贵司表示深度跟踪、参与了湖南长沙、江苏无锡国家级车联网先导区的建设。是否有盈利？是否对贵司盈利产生重大影响？谢谢！</w:t>
      </w:r>
    </w:p>
    <w:p>
      <w:r>
        <w:t>回答: 电科网安：尊敬的投资者，您好，公司承担多个国家级车联网先导区密码应用试点建设，围绕 “车、路、云、网”的一体化安全需求开展密码应用创新，形成可复制推广的整体解决方案，具备技术资源储备及相关建设经验。未来在政策引领下，随着“车路云一体化”试点工作的持续推进，公司有望进一步加速车联网安全业务的发展，谢谢您的关注。2024-08-15 16:29:18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董秘您好:贵司下半年营收能力是否会有所改观？谢谢！</w:t>
      </w:r>
    </w:p>
    <w:p>
      <w:r>
        <w:t>回答: 电科网安：尊敬的投资者，您好，下半年公司将锚定战略规划和年度经营目标，发挥密码能力核心优势，大力推进关键信息基础设施行业和领域的密评密改市场，突破政务、交通、医疗、电力等密码应用增量市场；加强数据流通安全、数据安全治理、个人信息审计等政策研究和关键技术论证，实现数据安全核心产品和服务在航空、铁路、石油石化等领域重大项目落地；进一步夯实网络安全运营核心能力和运营实践，实现安全运营中心在央企、政法领域的复制推广，谢谢您的关注。2024-08-15 16:28:21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公司在实验测试的人性机器人跟友商研发的在操作能力上比较如何？</w:t>
      </w:r>
    </w:p>
    <w:p>
      <w:r>
        <w:t>回答: 四川长虹：尊敬的投资者，您好！题述机器人主要通过产线实验测试获取相关的应用数据。未来实际应用落地情况存在较大不确定性。感谢您的关注！2024-08-15 17:58:00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怎么贵司没有披露二季度业绩预报表，作为国企贵司是如何提高社会公信力，做好市值管理的。</w:t>
      </w:r>
    </w:p>
    <w:p>
      <w:r>
        <w:t>回答: 四川长虹：尊敬的投资者，您好！公司严格按照相关法规要求进行信息披露。关于公司2024年半年度经营情况，请您关注公司将于2024年8月24日披露的2024年半年度报告。感谢您的关注！2024-08-15 17:58:00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请问现在的股东人数是多少？</w:t>
      </w:r>
    </w:p>
    <w:p>
      <w:r>
        <w:t>回答: 舍得酒业：投资者您好！公司会在定期报告中披露对应时点的股东人数，敬请关注公司定期报告。感谢您的关注！2024-08-15 15:58:00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p>
    <w:p>
      <w:r>
        <w:t>问题: 与新易盛、中际旭创、天孚通信等光模块厂商的迅猛发展相比，贵公司作为老牌国企，给投资者的印象似乎总是慢一拍。从关键原材料短缺、产能不足，到后续可能出现的一系列问题，公司的前瞻性布局较难被看到，这容易让投资者产生国企僵化、不作为的想法。在新质生产力的发展方面，公司除了关注经营之外，是否需要考虑如何结合自身品牌形象，打造成为新时代的龙头技术领军企业？</w:t>
      </w:r>
    </w:p>
    <w:p>
      <w:r>
        <w:t>回答: 光迅科技：投资者您好！ 感谢对公司提出的建议。公司经营中遇到的如原材料短缺、产能不足等，已经做了一系列的应对工作。后续公司将聚焦战略方向，努力发挥自己的优势，更多让外界了解公司，并持续通过提升公司价值，更好地回报投资者。2024-08-15 16:39:37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p>
    <w:p>
      <w:r>
        <w:t>问题: 公司的同行中际旭创和新易盛都已经发布了二季度业绩预告，公司作为国内光模块市场的龙头企业，按照公司一季度的说法，供应链关键元器件紧张的问题在4月底前已经逐步解决，那比照市场占有率和利润率，公司可预期是能够发布业绩预告的，请问有事什么关键原因导致你们再次落后于对手？希望公司体现国企担当，不要随意搪塞投资者</w:t>
      </w:r>
    </w:p>
    <w:p>
      <w:r>
        <w:t>回答: 光迅科技：投资者您好！ 公司严格按照深圳证券交易所相关规定履行信息披露义务，具体业绩情况请关注公司将于2024年8月24日披露的2024年半年度报告。2024-08-15 16:37:14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