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标题：红旗连锁今年上半年营收超51亿元，净利润超2亿元</w:t>
      </w:r>
    </w:p>
    <w:p>
      <w:r>
        <w:t>摘要: 新京报贝壳财经讯7月26日，红旗连锁发布的财报显示，今年上半年，红旗连锁实现营业收入约51.86亿元，同比增长3.67%；归属于上市公司股东的净利润约2.67亿元，同比增长3.81%。今年上半年，红旗连锁以调整门店商品结构、提升装修档次、调整店型作为经营重点，完成旧店升级改造202家，净新开门店16家，截至2024年6月30日，公司共有门店3655家。</w:t>
      </w:r>
      <w:r>
        <w:br/>
        <w:t>公司: 红旗连锁    |</w:t>
      </w:r>
      <w:r>
        <w:t xml:space="preserve">    代码: 002697</w:t>
        <w:br/>
      </w:r>
      <w:r>
        <w:rPr>
          <w:color w:val="000000" w:themeColor="hyperlink"/>
          <w:u w:val="single"/>
        </w:rPr>
        <w:hyperlink r:id="rId9">
          <w:r>
            <w:rPr/>
            <w:t>http://finance.eastmoney.com/a/202407263140883418.html</w:t>
          </w:r>
        </w:hyperlink>
      </w:r>
    </w:p>
    <w:p>
      <w:r>
        <w:br/>
      </w:r>
    </w:p>
    <w:p>
      <w:pPr>
        <w:pStyle w:val="Heading1"/>
      </w:pPr>
      <w:r>
        <w:t>标题：红旗连锁(002697.SZ)：2024年中报净利润为2.67亿元、同比较去年同期上涨3.81%</w:t>
      </w:r>
    </w:p>
    <w:p>
      <w:r>
        <w:t>摘要: 2024年7月26日，红旗连锁(002697.SZ)发布2024年中报。公司营业总收入为51.86亿元，较去年同报告期营业总收入增加1.84亿元，实现5年连续上涨，同比较去年同期上涨3.67%。归母净利润为2.67亿元，较去年同报告期归母净利润增加978.90万元，实现3年连续上涨，同比较去年同期上涨3.81%。</w:t>
      </w:r>
      <w:r>
        <w:br/>
        <w:t>公司: 红旗连锁    |</w:t>
      </w:r>
      <w:r>
        <w:t xml:space="preserve">    代码: 002697</w:t>
        <w:br/>
      </w:r>
      <w:r>
        <w:rPr>
          <w:color w:val="000000" w:themeColor="hyperlink"/>
          <w:u w:val="single"/>
        </w:rPr>
        <w:hyperlink r:id="rId10">
          <w:r>
            <w:rPr/>
            <w:t>http://finance.eastmoney.com/a/202407263140738354.html</w:t>
          </w:r>
        </w:hyperlink>
      </w:r>
    </w:p>
    <w:p>
      <w:r>
        <w:br/>
      </w:r>
    </w:p>
    <w:p>
      <w:pPr>
        <w:pStyle w:val="Heading1"/>
      </w:pPr>
      <w:r>
        <w:t>标题：红旗连锁：2024年上半年净利润2.67亿元 同比增长3.81%</w:t>
      </w:r>
    </w:p>
    <w:p>
      <w:r>
        <w:t>摘要: 中证智能财讯红旗连锁（002697）7月26日披露2024年半年报。2024年上半年，公司实现营业总收入51.86亿元，同比增长3.67%；归母净利润2.67亿元，同比增长3.81%；扣非净利润2.41亿元，同比增长0.21%；经营活动产生的现金流量净额为4.35亿元，同比下降19.79%；报告期内，红旗连锁基本每股收益为0.2元，加权平均净资产收益率为6.32%。</w:t>
      </w:r>
      <w:r>
        <w:br/>
        <w:t>公司: 红旗连锁    |</w:t>
      </w:r>
      <w:r>
        <w:t xml:space="preserve">    代码: 002697</w:t>
        <w:br/>
      </w:r>
      <w:r>
        <w:rPr>
          <w:color w:val="000000" w:themeColor="hyperlink"/>
          <w:u w:val="single"/>
        </w:rPr>
        <w:hyperlink r:id="rId11">
          <w:r>
            <w:rPr/>
            <w:t>http://finance.eastmoney.com/a/202407263140312285.html</w:t>
          </w:r>
        </w:hyperlink>
      </w:r>
    </w:p>
    <w:p>
      <w:r>
        <w:br/>
      </w:r>
    </w:p>
    <w:p>
      <w:pPr>
        <w:pStyle w:val="Heading1"/>
      </w:pPr>
      <w:r>
        <w:t>标题：智能交通概念股持续活跃 富临运业2连板</w:t>
      </w:r>
    </w:p>
    <w:p>
      <w:r>
        <w:t>摘要: 【智能交通概念股持续活跃 富临运业2连板】富临运业2连板，启明信息涨停，东风汽车涨超5%，安凯客车、宇通客车、大众交通、路畅科技、兴民智通等跟涨。消息面上，赛可智能宣布，其无人驾驶出租车（Robotaxi）已获得上海市无驾驶人智能网联汽车示范应用许可，并计划于8月向公众开放。</w:t>
      </w:r>
      <w:r>
        <w:br/>
        <w:t>公司: 富临运业    |</w:t>
      </w:r>
      <w:r>
        <w:t xml:space="preserve">    代码: 002357</w:t>
        <w:br/>
      </w:r>
      <w:r>
        <w:rPr>
          <w:color w:val="000000" w:themeColor="hyperlink"/>
          <w:u w:val="single"/>
        </w:rPr>
        <w:hyperlink r:id="rId12">
          <w:r>
            <w:rPr/>
            <w:t>http://finance.eastmoney.com/a/202407263140773157.html</w:t>
          </w:r>
        </w:hyperlink>
      </w:r>
    </w:p>
    <w:p>
      <w:r>
        <w:br/>
      </w:r>
    </w:p>
    <w:p>
      <w:pPr>
        <w:pStyle w:val="Heading1"/>
      </w:pPr>
      <w:r>
        <w:t>标题：广安爱众董事长余正军：加快推进综合能源服务战略转型</w:t>
      </w:r>
    </w:p>
    <w:p>
      <w:r>
        <w:t>摘要: 今年是广安爱众上市20周年，作为四川省广安市唯一一家主板上市公司，近年来公司加大战略转型力度，为未来发展积蓄澎湃动能。广安爱众董事长余正军近日在接受中国证券报记者专访时表示：“在全球经济发展形势与能源产业发展趋势下，结合国家发展战略，我们在战略层面规划了公用事业、绿能、现代服务与资本这四大产业群，提出建设百年爱众的目标，加快推进综合能源服务战略转型。</w:t>
      </w:r>
      <w:r>
        <w:br/>
        <w:t>公司: 广安爱众    |</w:t>
      </w:r>
      <w:r>
        <w:t xml:space="preserve">    代码: 600979</w:t>
        <w:br/>
      </w:r>
      <w:r>
        <w:rPr>
          <w:color w:val="000000" w:themeColor="hyperlink"/>
          <w:u w:val="single"/>
        </w:rPr>
        <w:hyperlink r:id="rId13">
          <w:r>
            <w:rPr/>
            <w:t>http://finance.eastmoney.com/a/202407263140331054.html</w:t>
          </w:r>
        </w:hyperlink>
      </w:r>
    </w:p>
    <w:p>
      <w:r>
        <w:br/>
      </w:r>
    </w:p>
    <w:p>
      <w:pPr>
        <w:pStyle w:val="Heading1"/>
      </w:pPr>
      <w:r>
        <w:t>标题：五大因素助力电力股走强 72只个股年内分红超640亿元</w:t>
      </w:r>
    </w:p>
    <w:p>
      <w:r>
        <w:t>摘要: 今年以来，电力板块无疑是A股市场最强板块之一，电力指数年内涨超14%，最新滚动市盈率为18.4倍。中国广核、川投能源、华能水电和长江电力等电力股的股价屡创历史新高。近日，中国核电股价创9年来新高。从二级市场的走势来看，在大盘持续回调的情况下，电力股持续受到市场关注。</w:t>
      </w:r>
      <w:r>
        <w:br/>
        <w:t>公司: 川投能源    |</w:t>
      </w:r>
      <w:r>
        <w:t xml:space="preserve">    代码: 600674</w:t>
        <w:br/>
      </w:r>
      <w:r>
        <w:rPr>
          <w:color w:val="000000" w:themeColor="hyperlink"/>
          <w:u w:val="single"/>
        </w:rPr>
        <w:hyperlink r:id="rId14">
          <w:r>
            <w:rPr/>
            <w:t>http://stock.eastmoney.com/a/202407263140342593.html</w:t>
          </w:r>
        </w:hyperlink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finance.eastmoney.com/a/202407263140883418.html" TargetMode="External"/><Relationship Id="rId10" Type="http://schemas.openxmlformats.org/officeDocument/2006/relationships/hyperlink" Target="http://finance.eastmoney.com/a/202407263140738354.html" TargetMode="External"/><Relationship Id="rId11" Type="http://schemas.openxmlformats.org/officeDocument/2006/relationships/hyperlink" Target="http://finance.eastmoney.com/a/202407263140312285.html" TargetMode="External"/><Relationship Id="rId12" Type="http://schemas.openxmlformats.org/officeDocument/2006/relationships/hyperlink" Target="http://finance.eastmoney.com/a/202407263140773157.html" TargetMode="External"/><Relationship Id="rId13" Type="http://schemas.openxmlformats.org/officeDocument/2006/relationships/hyperlink" Target="http://finance.eastmoney.com/a/202407263140331054.html" TargetMode="External"/><Relationship Id="rId14" Type="http://schemas.openxmlformats.org/officeDocument/2006/relationships/hyperlink" Target="http://stock.eastmoney.com/a/20240726314034259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