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国</w:t>
      </w:r>
      <w:r>
        <w:rPr>
          <w:rFonts w:ascii="微软雅黑" w:hAnsi="微软雅黑" w:eastAsia="微软雅黑"/>
          <w:b/>
          <w:color w:val="4682B4"/>
          <w:sz w:val="32"/>
        </w:rPr>
        <w:t>信</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单</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归</w:t>
      </w:r>
      <w:r>
        <w:rPr>
          <w:rFonts w:ascii="微软雅黑" w:hAnsi="微软雅黑" w:eastAsia="微软雅黑"/>
          <w:b/>
          <w:color w:val="4682B4"/>
          <w:sz w:val="32"/>
        </w:rPr>
        <w:t>母</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自</w:t>
      </w:r>
      <w:r>
        <w:rPr>
          <w:rFonts w:ascii="微软雅黑" w:hAnsi="微软雅黑" w:eastAsia="微软雅黑"/>
          <w:b/>
          <w:color w:val="4682B4"/>
          <w:sz w:val="32"/>
        </w:rPr>
        <w:t>产</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放</w:t>
      </w:r>
      <w:r>
        <w:rPr>
          <w:rFonts w:ascii="微软雅黑" w:hAnsi="微软雅黑" w:eastAsia="微软雅黑"/>
          <w:b/>
          <w:color w:val="4682B4"/>
          <w:sz w:val="32"/>
        </w:rPr>
        <w:t>量</w:t>
      </w:r>
    </w:p>
    <w:p>
      <w:r>
        <w:t>摘要: 国信证券08月11日发布研报称，给予迈克生物（300463.SZ）评级。评级理由主要包括：1）加快代理产品剥离及重塑自主产品经销体系，单二季度归母净利润同比增长40%；2）自主产品试剂同比增长6%，持续推进大型仪器及流水线的终端装机；3）盈利能力不断改善，保持高强度研发投入；4）经营性现金流保持稳健优质。风险提示：体外诊断试剂集采降价风险、研发不及预期、竞争加剧风险。</w:t>
      </w:r>
      <w:r>
        <w:br/>
        <w:t>公司: 迈克生物    |</w:t>
      </w:r>
      <w:r>
        <w:t xml:space="preserve">    代码: 300463</w:t>
        <w:br/>
      </w:r>
      <w:r>
        <w:rPr>
          <w:color w:val="000000" w:themeColor="hyperlink"/>
          <w:u w:val="single"/>
        </w:rPr>
        <w:hyperlink r:id="rId9">
          <w:r>
            <w:rPr/>
            <w:t>http://finance.eastmoney.com/a/202408113153214072.html</w:t>
          </w:r>
        </w:hyperlink>
      </w:r>
    </w:p>
    <w:p>
      <w:r>
        <w:br/>
      </w:r>
    </w:p>
    <w:p>
      <w:pPr>
        <w:pStyle w:val="Heading1"/>
      </w:pPr>
      <w:r>
        <w:rPr>
          <w:rFonts w:ascii="微软雅黑" w:hAnsi="微软雅黑" w:eastAsia="微软雅黑"/>
          <w:b/>
          <w:color w:val="4682B4"/>
          <w:sz w:val="32"/>
        </w:rPr>
        <w:t>纵</w:t>
      </w:r>
      <w:r>
        <w:rPr>
          <w:rFonts w:ascii="微软雅黑" w:hAnsi="微软雅黑" w:eastAsia="微软雅黑"/>
          <w:b/>
          <w:color w:val="4682B4"/>
          <w:sz w:val="32"/>
        </w:rPr>
        <w:t>横</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纵横股份将于2024年08月12日（星期一）下午14:00，在四川省成都市高新区天府五街菁蓉汇3A11楼A3会议室召开第一届临时股东大会。</w:t>
      </w:r>
      <w:r>
        <w:br/>
        <w:t>公司: 纵横股份    |</w:t>
      </w:r>
      <w:r>
        <w:t xml:space="preserve">    代码: 688070</w:t>
        <w:br/>
      </w:r>
      <w:r>
        <w:rPr>
          <w:color w:val="000000" w:themeColor="hyperlink"/>
          <w:u w:val="single"/>
        </w:rPr>
        <w:hyperlink r:id="rId10">
          <w:r>
            <w:rPr/>
            <w:t>http://stock.eastmoney.com/a/202408113153173027.html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海天股份将于2024年08月12日（星期一）下午14:00，在四川省成都市天府新区湖畔路南段506号公司5楼会议室召开第三届临时股东大会。</w:t>
      </w:r>
      <w:r>
        <w:br/>
        <w:t>公司: 海天股份    |</w:t>
      </w:r>
      <w:r>
        <w:t xml:space="preserve">    代码: 603759</w:t>
        <w:br/>
      </w:r>
      <w:r>
        <w:rPr>
          <w:color w:val="000000" w:themeColor="hyperlink"/>
          <w:u w:val="single"/>
        </w:rPr>
        <w:hyperlink r:id="rId11">
          <w:r>
            <w:rPr/>
            <w:t>http://stock.eastmoney.com/a/202408113153170885.html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及</w:t>
      </w:r>
      <w:r>
        <w:rPr>
          <w:rFonts w:ascii="微软雅黑" w:hAnsi="微软雅黑" w:eastAsia="微软雅黑"/>
          <w:b/>
          <w:color w:val="4682B4"/>
          <w:sz w:val="32"/>
        </w:rPr>
        <w:t>内</w:t>
      </w:r>
      <w:r>
        <w:rPr>
          <w:rFonts w:ascii="微软雅黑" w:hAnsi="微软雅黑" w:eastAsia="微软雅黑"/>
          <w:b/>
          <w:color w:val="4682B4"/>
          <w:sz w:val="32"/>
        </w:rPr>
        <w:t>外</w:t>
      </w:r>
      <w:r>
        <w:rPr>
          <w:rFonts w:ascii="微软雅黑" w:hAnsi="微软雅黑" w:eastAsia="微软雅黑"/>
          <w:b/>
          <w:color w:val="4682B4"/>
          <w:sz w:val="32"/>
        </w:rPr>
        <w:t>部</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变</w:t>
      </w:r>
      <w:r>
        <w:rPr>
          <w:rFonts w:ascii="微软雅黑" w:hAnsi="微软雅黑" w:eastAsia="微软雅黑"/>
          <w:b/>
          <w:color w:val="4682B4"/>
          <w:sz w:val="32"/>
        </w:rPr>
        <w:t>化</w:t>
      </w:r>
    </w:p>
    <w:p>
      <w:r>
        <w:t>摘要: 每经AI快讯，华塑控股发布异动公告，公司目前经营情况及内外部经营环境未发生重大变化。经发函询证，公司控股股东及实际控制人不存在关于公司应披露而未披露的重大事项或处于筹划阶段的重大事项。</w:t>
      </w:r>
      <w:r>
        <w:br/>
        <w:t>公司: 华塑控股    |</w:t>
      </w:r>
      <w:r>
        <w:t xml:space="preserve">    代码: 000509</w:t>
        <w:br/>
      </w:r>
      <w:r>
        <w:rPr>
          <w:color w:val="000000" w:themeColor="hyperlink"/>
          <w:u w:val="single"/>
        </w:rPr>
        <w:hyperlink r:id="rId12">
          <w:r>
            <w:rPr/>
            <w:t>http://finance.eastmoney.com/a/202408113153184996.html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b/>
          <w:color w:val="4682B4"/>
          <w:sz w:val="32"/>
        </w:rPr>
        <w:t xml:space="preserve"> </w:t>
      </w:r>
      <w:r>
        <w:rPr>
          <w:rFonts w:ascii="微软雅黑" w:hAnsi="微软雅黑" w:eastAsia="微软雅黑"/>
          <w:b/>
          <w:color w:val="4682B4"/>
          <w:sz w:val="32"/>
        </w:rPr>
        <w:t>不</w:t>
      </w:r>
      <w:r>
        <w:rPr>
          <w:rFonts w:ascii="微软雅黑" w:hAnsi="微软雅黑" w:eastAsia="微软雅黑"/>
          <w:b/>
          <w:color w:val="4682B4"/>
          <w:sz w:val="32"/>
        </w:rPr>
        <w:t>存</w:t>
      </w:r>
      <w:r>
        <w:rPr>
          <w:rFonts w:ascii="微软雅黑" w:hAnsi="微软雅黑" w:eastAsia="微软雅黑"/>
          <w:b/>
          <w:color w:val="4682B4"/>
          <w:sz w:val="32"/>
        </w:rPr>
        <w:t>在</w:t>
      </w:r>
      <w:r>
        <w:rPr>
          <w:rFonts w:ascii="微软雅黑" w:hAnsi="微软雅黑" w:eastAsia="微软雅黑"/>
          <w:b/>
          <w:color w:val="4682B4"/>
          <w:sz w:val="32"/>
        </w:rPr>
        <w:t>应</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而</w:t>
      </w:r>
      <w:r>
        <w:rPr>
          <w:rFonts w:ascii="微软雅黑" w:hAnsi="微软雅黑" w:eastAsia="微软雅黑"/>
          <w:b/>
          <w:color w:val="4682B4"/>
          <w:sz w:val="32"/>
        </w:rPr>
        <w:t>未</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的</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事</w:t>
      </w:r>
      <w:r>
        <w:rPr>
          <w:rFonts w:ascii="微软雅黑" w:hAnsi="微软雅黑" w:eastAsia="微软雅黑"/>
          <w:b/>
          <w:color w:val="4682B4"/>
          <w:sz w:val="32"/>
        </w:rPr>
        <w:t>项</w:t>
      </w:r>
    </w:p>
    <w:p>
      <w:r>
        <w:t>摘要: 格隆汇8月11日丨华塑控股(000509.SZ)公告，华塑控股股份有限公司股票(证券简称：华塑控股；证券代码：000509)连续2个交易日内(2024年8月8日、2024年8月9日)日收盘价涨幅偏离值累计超过20%，根据《深圳证券交易所交易规则》的有关规定，属于股票交易异常波动。</w:t>
      </w:r>
      <w:r>
        <w:br/>
        <w:t>公司: 华塑控股    |</w:t>
      </w:r>
      <w:r>
        <w:t xml:space="preserve">    代码: 000509</w:t>
        <w:br/>
      </w:r>
      <w:r>
        <w:rPr>
          <w:color w:val="000000" w:themeColor="hyperlink"/>
          <w:u w:val="single"/>
        </w:rPr>
        <w:hyperlink r:id="rId13">
          <w:r>
            <w:rPr/>
            <w:t>http://caifuhao.eastmoney.com/news/20240811160711477113030</w:t>
          </w:r>
        </w:hyperlink>
      </w:r>
    </w:p>
    <w:p>
      <w:r>
        <w:br/>
      </w:r>
    </w:p>
    <w:p>
      <w:pPr>
        <w:pStyle w:val="Heading1"/>
      </w:pP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存</w:t>
      </w:r>
      <w:r>
        <w:rPr>
          <w:rFonts w:ascii="微软雅黑" w:hAnsi="微软雅黑" w:eastAsia="微软雅黑"/>
          <w:b/>
          <w:color w:val="4682B4"/>
          <w:sz w:val="32"/>
        </w:rPr>
        <w:t>在</w:t>
      </w:r>
      <w:r>
        <w:rPr>
          <w:rFonts w:ascii="微软雅黑" w:hAnsi="微软雅黑" w:eastAsia="微软雅黑"/>
          <w:b/>
          <w:color w:val="4682B4"/>
          <w:sz w:val="32"/>
        </w:rPr>
        <w:t>应</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而</w:t>
      </w:r>
      <w:r>
        <w:rPr>
          <w:rFonts w:ascii="微软雅黑" w:hAnsi="微软雅黑" w:eastAsia="微软雅黑"/>
          <w:b/>
          <w:color w:val="4682B4"/>
          <w:sz w:val="32"/>
        </w:rPr>
        <w:t>未</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的</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事</w:t>
      </w:r>
      <w:r>
        <w:rPr>
          <w:rFonts w:ascii="微软雅黑" w:hAnsi="微软雅黑" w:eastAsia="微软雅黑"/>
          <w:b/>
          <w:color w:val="4682B4"/>
          <w:sz w:val="32"/>
        </w:rPr>
        <w:t>项</w:t>
      </w:r>
    </w:p>
    <w:p>
      <w:r>
        <w:t>摘要: 每经AI快讯，8月11日，华塑控股发布异动公告，经核查，公司目前经营情况及内外部经营环境未发生重大变化，控股股东及实际控制人不存在关于公司应披露而未披露的重大事项或处于筹划阶段的重大事项。公司前期披露的信息不存在需要更正、补充之处。</w:t>
      </w:r>
      <w:r>
        <w:br/>
        <w:t>公司: 华塑控股    |</w:t>
      </w:r>
      <w:r>
        <w:t xml:space="preserve">    代码: 000509</w:t>
        <w:br/>
      </w:r>
      <w:r>
        <w:rPr>
          <w:color w:val="000000" w:themeColor="hyperlink"/>
          <w:u w:val="single"/>
        </w:rPr>
        <w:hyperlink r:id="rId14">
          <w:r>
            <w:rPr/>
            <w:t>http://finance.eastmoney.com/a/202408113153176167.html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存</w:t>
      </w:r>
      <w:r>
        <w:rPr>
          <w:rFonts w:ascii="微软雅黑" w:hAnsi="微软雅黑" w:eastAsia="微软雅黑"/>
          <w:b/>
          <w:color w:val="4682B4"/>
          <w:sz w:val="32"/>
        </w:rPr>
        <w:t>在</w:t>
      </w:r>
      <w:r>
        <w:rPr>
          <w:rFonts w:ascii="微软雅黑" w:hAnsi="微软雅黑" w:eastAsia="微软雅黑"/>
          <w:b/>
          <w:color w:val="4682B4"/>
          <w:sz w:val="32"/>
        </w:rPr>
        <w:t>应</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而</w:t>
      </w:r>
      <w:r>
        <w:rPr>
          <w:rFonts w:ascii="微软雅黑" w:hAnsi="微软雅黑" w:eastAsia="微软雅黑"/>
          <w:b/>
          <w:color w:val="4682B4"/>
          <w:sz w:val="32"/>
        </w:rPr>
        <w:t>未</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的</w:t>
      </w:r>
      <w:r>
        <w:rPr>
          <w:rFonts w:ascii="微软雅黑" w:hAnsi="微软雅黑" w:eastAsia="微软雅黑"/>
          <w:b/>
          <w:color w:val="4682B4"/>
          <w:sz w:val="32"/>
        </w:rPr>
        <w:t>事</w:t>
      </w:r>
      <w:r>
        <w:rPr>
          <w:rFonts w:ascii="微软雅黑" w:hAnsi="微软雅黑" w:eastAsia="微软雅黑"/>
          <w:b/>
          <w:color w:val="4682B4"/>
          <w:sz w:val="32"/>
        </w:rPr>
        <w:t>项</w:t>
      </w:r>
    </w:p>
    <w:p>
      <w:r>
        <w:t>摘要: 8月11日，华塑控股发布股票交易异常波动公告：公司目前没有任何根据《深圳证券交易所股票上市规则》规定应予以披露而未披露的事项或与该事项有关的筹划、商谈、意向、协议等；董事会也未获悉公司有根据《上市规则》的规定应予以披露而未披露的、对公司股票及其衍生品种交易价格产生较大影响的信息；公司前期披露的信息不存在需要更正、补充之处。</w:t>
      </w:r>
      <w:r>
        <w:br/>
        <w:t>公司: 华塑控股    |</w:t>
      </w:r>
      <w:r>
        <w:t xml:space="preserve">    代码: 000509</w:t>
        <w:br/>
      </w:r>
      <w:r>
        <w:rPr>
          <w:color w:val="000000" w:themeColor="hyperlink"/>
          <w:u w:val="single"/>
        </w:rPr>
        <w:hyperlink r:id="rId15">
          <w:r>
            <w:rPr/>
            <w:t>http://finance.eastmoney.com/a/202408113153175541.html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新</w:t>
      </w:r>
      <w:r>
        <w:rPr>
          <w:rFonts w:ascii="微软雅黑" w:hAnsi="微软雅黑" w:eastAsia="微软雅黑"/>
          <w:b/>
          <w:color w:val="4682B4"/>
          <w:sz w:val="32"/>
        </w:rPr>
        <w:t>健</w:t>
      </w:r>
      <w:r>
        <w:rPr>
          <w:rFonts w:ascii="微软雅黑" w:hAnsi="微软雅黑" w:eastAsia="微软雅黑"/>
          <w:b/>
          <w:color w:val="4682B4"/>
          <w:sz w:val="32"/>
        </w:rPr>
        <w:t>康</w:t>
      </w:r>
      <w:r>
        <w:rPr>
          <w:rFonts w:ascii="微软雅黑" w:hAnsi="微软雅黑" w:eastAsia="微软雅黑"/>
          <w:b/>
          <w:color w:val="4682B4"/>
          <w:sz w:val="32"/>
        </w:rPr>
        <w:t>周</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二</w:t>
      </w:r>
      <w:r>
        <w:rPr>
          <w:rFonts w:ascii="微软雅黑" w:hAnsi="微软雅黑" w:eastAsia="微软雅黑"/>
          <w:b/>
          <w:color w:val="4682B4"/>
          <w:sz w:val="32"/>
        </w:rPr>
        <w:t>价</w:t>
      </w:r>
      <w:r>
        <w:rPr>
          <w:rFonts w:ascii="微软雅黑" w:hAnsi="微软雅黑"/>
          <w:b/>
          <w:color w:val="4682B4"/>
          <w:sz w:val="32"/>
        </w:rPr>
        <w:t>H</w:t>
      </w:r>
      <w:r>
        <w:rPr>
          <w:rFonts w:ascii="微软雅黑" w:hAnsi="微软雅黑"/>
          <w:b/>
          <w:color w:val="4682B4"/>
          <w:sz w:val="32"/>
        </w:rPr>
        <w:t>P</w:t>
      </w:r>
      <w:r>
        <w:rPr>
          <w:rFonts w:ascii="微软雅黑" w:hAnsi="微软雅黑"/>
          <w:b/>
          <w:color w:val="4682B4"/>
          <w:sz w:val="32"/>
        </w:rPr>
        <w:t>V</w:t>
      </w:r>
      <w:r>
        <w:rPr>
          <w:rFonts w:ascii="微软雅黑" w:hAnsi="微软雅黑" w:eastAsia="微软雅黑"/>
          <w:b/>
          <w:color w:val="4682B4"/>
          <w:sz w:val="32"/>
        </w:rPr>
        <w:t>疫</w:t>
      </w:r>
      <w:r>
        <w:rPr>
          <w:rFonts w:ascii="微软雅黑" w:hAnsi="微软雅黑" w:eastAsia="微软雅黑"/>
          <w:b/>
          <w:color w:val="4682B4"/>
          <w:sz w:val="32"/>
        </w:rPr>
        <w:t>苗</w:t>
      </w:r>
      <w:r>
        <w:rPr>
          <w:rFonts w:ascii="微软雅黑" w:hAnsi="微软雅黑" w:eastAsia="微软雅黑"/>
          <w:b/>
          <w:color w:val="4682B4"/>
          <w:sz w:val="32"/>
        </w:rPr>
        <w:t>单</w:t>
      </w:r>
      <w:r>
        <w:rPr>
          <w:rFonts w:ascii="微软雅黑" w:hAnsi="微软雅黑" w:eastAsia="微软雅黑"/>
          <w:b/>
          <w:color w:val="4682B4"/>
          <w:sz w:val="32"/>
        </w:rPr>
        <w:t>支</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低</w:t>
      </w:r>
      <w:r>
        <w:rPr>
          <w:rFonts w:ascii="微软雅黑" w:hAnsi="微软雅黑"/>
          <w:b/>
          <w:color w:val="4682B4"/>
          <w:sz w:val="32"/>
        </w:rPr>
        <w:t xml:space="preserve"> </w:t>
      </w: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被</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eastAsia="微软雅黑"/>
          <w:b/>
          <w:color w:val="4682B4"/>
          <w:sz w:val="32"/>
        </w:rPr>
        <w:t>调</w:t>
      </w:r>
      <w:r>
        <w:rPr>
          <w:rFonts w:ascii="微软雅黑" w:hAnsi="微软雅黑" w:eastAsia="微软雅黑"/>
          <w:b/>
          <w:color w:val="4682B4"/>
          <w:sz w:val="32"/>
        </w:rPr>
        <w:t>查</w:t>
      </w:r>
    </w:p>
    <w:p>
      <w:r>
        <w:t>摘要: 中新网8月11日电(赵方园)二价HPV疫苗单支中标价低至20余元；440个药品通过国家基本医保目录初审；汇宇制药董事长涉嫌短线交易被立案调查；5天3板，香雪制药称公司股价可能存在非理性炒作等情形；内斗再度升级，基蛋生物三名高管被指硬闯子公司办公场所……中新健康梳理医疗健康领域8月5日-8月11日发生的一周要闻，与读者一起回顾。</w:t>
      </w:r>
      <w:r>
        <w:br/>
        <w:t>公司: 汇宇制药...    |</w:t>
      </w:r>
      <w:r>
        <w:t xml:space="preserve">    代码: 688553</w:t>
        <w:br/>
      </w:r>
      <w:r>
        <w:rPr>
          <w:color w:val="000000" w:themeColor="hyperlink"/>
          <w:u w:val="single"/>
        </w:rPr>
        <w:hyperlink r:id="rId16">
          <w:r>
            <w:rPr/>
            <w:t>http://finance.eastmoney.com/a/202408113153210073.html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股</w:t>
      </w:r>
      <w:r>
        <w:rPr>
          <w:rFonts w:ascii="微软雅黑" w:hAnsi="微软雅黑" w:eastAsia="微软雅黑"/>
          <w:b/>
          <w:color w:val="4682B4"/>
          <w:sz w:val="32"/>
        </w:rPr>
        <w:t>应</w:t>
      </w:r>
      <w:r>
        <w:rPr>
          <w:rFonts w:ascii="微软雅黑" w:hAnsi="微软雅黑" w:eastAsia="微软雅黑"/>
          <w:b/>
          <w:color w:val="4682B4"/>
          <w:sz w:val="32"/>
        </w:rPr>
        <w:t>声</w:t>
      </w:r>
      <w:r>
        <w:rPr>
          <w:rFonts w:ascii="微软雅黑" w:hAnsi="微软雅黑" w:eastAsia="微软雅黑"/>
          <w:b/>
          <w:color w:val="4682B4"/>
          <w:sz w:val="32"/>
        </w:rPr>
        <w:t>一</w:t>
      </w:r>
      <w:r>
        <w:rPr>
          <w:rFonts w:ascii="微软雅黑" w:hAnsi="微软雅黑" w:eastAsia="微软雅黑"/>
          <w:b/>
          <w:color w:val="4682B4"/>
          <w:sz w:val="32"/>
        </w:rPr>
        <w:t>字</w:t>
      </w:r>
      <w:r>
        <w:rPr>
          <w:rFonts w:ascii="微软雅黑" w:hAnsi="微软雅黑" w:eastAsia="微软雅黑"/>
          <w:b/>
          <w:color w:val="4682B4"/>
          <w:sz w:val="32"/>
        </w:rPr>
        <w:t>跌</w:t>
      </w:r>
      <w:r>
        <w:rPr>
          <w:rFonts w:ascii="微软雅黑" w:hAnsi="微软雅黑" w:eastAsia="微软雅黑"/>
          <w:b/>
          <w:color w:val="4682B4"/>
          <w:sz w:val="32"/>
        </w:rPr>
        <w:t>停</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迄</w:t>
      </w:r>
      <w:r>
        <w:rPr>
          <w:rFonts w:ascii="微软雅黑" w:hAnsi="微软雅黑" w:eastAsia="微软雅黑"/>
          <w:b/>
          <w:color w:val="4682B4"/>
          <w:sz w:val="32"/>
        </w:rPr>
        <w:t>今</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或</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方</w:t>
      </w:r>
      <w:r>
        <w:rPr>
          <w:rFonts w:ascii="微软雅黑" w:hAnsi="微软雅黑" w:eastAsia="微软雅黑"/>
          <w:b/>
          <w:color w:val="4682B4"/>
          <w:sz w:val="32"/>
        </w:rPr>
        <w:t>被</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b/>
          <w:color w:val="4682B4"/>
          <w:sz w:val="32"/>
        </w:rPr>
        <w:t xml:space="preserve"> </w:t>
      </w:r>
      <w:r>
        <w:rPr>
          <w:rFonts w:ascii="微软雅黑" w:hAnsi="微软雅黑" w:eastAsia="微软雅黑"/>
          <w:b/>
          <w:color w:val="4682B4"/>
          <w:sz w:val="32"/>
        </w:rPr>
        <w:t>复</w:t>
      </w:r>
      <w:r>
        <w:rPr>
          <w:rFonts w:ascii="微软雅黑" w:hAnsi="微软雅黑" w:eastAsia="微软雅黑"/>
          <w:b/>
          <w:color w:val="4682B4"/>
          <w:sz w:val="32"/>
        </w:rPr>
        <w:t>旦</w:t>
      </w:r>
      <w:r>
        <w:rPr>
          <w:rFonts w:ascii="微软雅黑" w:hAnsi="微软雅黑" w:eastAsia="微软雅黑"/>
          <w:b/>
          <w:color w:val="4682B4"/>
          <w:sz w:val="32"/>
        </w:rPr>
        <w:t>复</w:t>
      </w:r>
      <w:r>
        <w:rPr>
          <w:rFonts w:ascii="微软雅黑" w:hAnsi="微软雅黑" w:eastAsia="微软雅黑"/>
          <w:b/>
          <w:color w:val="4682B4"/>
          <w:sz w:val="32"/>
        </w:rPr>
        <w:t>华</w:t>
      </w:r>
      <w:r>
        <w:rPr>
          <w:rFonts w:ascii="微软雅黑" w:hAnsi="微软雅黑" w:eastAsia="微软雅黑"/>
          <w:b/>
          <w:color w:val="4682B4"/>
          <w:sz w:val="32"/>
        </w:rPr>
        <w:t>等</w:t>
      </w:r>
      <w:r>
        <w:rPr>
          <w:rFonts w:ascii="微软雅黑" w:hAnsi="微软雅黑" w:eastAsia="微软雅黑"/>
          <w:b/>
          <w:color w:val="4682B4"/>
          <w:sz w:val="32"/>
        </w:rPr>
        <w:t>热</w:t>
      </w:r>
      <w:r>
        <w:rPr>
          <w:rFonts w:ascii="微软雅黑" w:hAnsi="微软雅黑" w:eastAsia="微软雅黑"/>
          <w:b/>
          <w:color w:val="4682B4"/>
          <w:sz w:val="32"/>
        </w:rPr>
        <w:t>门</w:t>
      </w:r>
      <w:r>
        <w:rPr>
          <w:rFonts w:ascii="微软雅黑" w:hAnsi="微软雅黑" w:eastAsia="微软雅黑"/>
          <w:b/>
          <w:color w:val="4682B4"/>
          <w:sz w:val="32"/>
        </w:rPr>
        <w:t>股</w:t>
      </w:r>
      <w:r>
        <w:rPr>
          <w:rFonts w:ascii="微软雅黑" w:hAnsi="微软雅黑" w:eastAsia="微软雅黑"/>
          <w:b/>
          <w:color w:val="4682B4"/>
          <w:sz w:val="32"/>
        </w:rPr>
        <w:t>在</w:t>
      </w:r>
      <w:r>
        <w:rPr>
          <w:rFonts w:ascii="微软雅黑" w:hAnsi="微软雅黑" w:eastAsia="微软雅黑"/>
          <w:b/>
          <w:color w:val="4682B4"/>
          <w:sz w:val="32"/>
        </w:rPr>
        <w:t>列</w:t>
      </w:r>
    </w:p>
    <w:p>
      <w:r>
        <w:t>摘要: 据不完全统计，下半年迄今包括沈阳化工、中青宝、同德化工、任子行、ST东时、汇宇制药、复旦复华、日海智能、甬金股份、锦富技术、ST高鸿、普利制药在内的12家A股上市公司公告公司或相关方被立案，详细情况见下图：从二级市场表现来看，公告次日复旦复华、日海智能、ST高鸿和普利制药均一字跌停，甬金股份收盘跌停。</w:t>
      </w:r>
      <w:r>
        <w:br/>
        <w:t>公司: 汇宇制药...    |</w:t>
      </w:r>
      <w:r>
        <w:t xml:space="preserve">    代码: 688553</w:t>
        <w:br/>
      </w:r>
      <w:r>
        <w:rPr>
          <w:color w:val="000000" w:themeColor="hyperlink"/>
          <w:u w:val="single"/>
        </w:rPr>
        <w:hyperlink r:id="rId17">
          <w:r>
            <w:rPr/>
            <w:t>http://finance.eastmoney.com/a/202408113153118420.html</w:t>
          </w:r>
        </w:hyperlink>
      </w:r>
    </w:p>
    <w:p>
      <w:r>
        <w:br/>
      </w:r>
    </w:p>
    <w:p>
      <w:pPr>
        <w:pStyle w:val="Heading1"/>
      </w:pPr>
      <w:r>
        <w:rPr>
          <w:rFonts w:ascii="微软雅黑" w:hAnsi="微软雅黑" w:eastAsia="微软雅黑"/>
          <w:b/>
          <w:color w:val="4682B4"/>
          <w:sz w:val="32"/>
        </w:rPr>
        <w:t>楼</w:t>
      </w:r>
      <w:r>
        <w:rPr>
          <w:rFonts w:ascii="微软雅黑" w:hAnsi="微软雅黑" w:eastAsia="微软雅黑"/>
          <w:b/>
          <w:color w:val="4682B4"/>
          <w:sz w:val="32"/>
        </w:rPr>
        <w:t>市</w:t>
      </w:r>
      <w:r>
        <w:rPr>
          <w:rFonts w:ascii="微软雅黑" w:hAnsi="微软雅黑" w:eastAsia="微软雅黑"/>
          <w:b/>
          <w:color w:val="4682B4"/>
          <w:sz w:val="32"/>
        </w:rPr>
        <w:t>积</w:t>
      </w:r>
      <w:r>
        <w:rPr>
          <w:rFonts w:ascii="微软雅黑" w:hAnsi="微软雅黑" w:eastAsia="微软雅黑"/>
          <w:b/>
          <w:color w:val="4682B4"/>
          <w:sz w:val="32"/>
        </w:rPr>
        <w:t>极</w:t>
      </w:r>
      <w:r>
        <w:rPr>
          <w:rFonts w:ascii="微软雅黑" w:hAnsi="微软雅黑" w:eastAsia="微软雅黑"/>
          <w:b/>
          <w:color w:val="4682B4"/>
          <w:sz w:val="32"/>
        </w:rPr>
        <w:t>信</w:t>
      </w:r>
      <w:r>
        <w:rPr>
          <w:rFonts w:ascii="微软雅黑" w:hAnsi="微软雅黑" w:eastAsia="微软雅黑"/>
          <w:b/>
          <w:color w:val="4682B4"/>
          <w:sz w:val="32"/>
        </w:rPr>
        <w:t>号</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释</w:t>
      </w:r>
      <w:r>
        <w:rPr>
          <w:rFonts w:ascii="微软雅黑" w:hAnsi="微软雅黑" w:eastAsia="微软雅黑"/>
          <w:b/>
          <w:color w:val="4682B4"/>
          <w:sz w:val="32"/>
        </w:rPr>
        <w:t>放</w:t>
      </w:r>
      <w:r>
        <w:rPr>
          <w:rFonts w:ascii="微软雅黑" w:hAnsi="微软雅黑"/>
          <w:b/>
          <w:color w:val="4682B4"/>
          <w:sz w:val="32"/>
        </w:rPr>
        <w:t xml:space="preserve"> </w:t>
      </w:r>
      <w:r>
        <w:rPr>
          <w:rFonts w:ascii="微软雅黑" w:hAnsi="微软雅黑" w:eastAsia="微软雅黑"/>
          <w:b/>
          <w:color w:val="4682B4"/>
          <w:sz w:val="32"/>
        </w:rPr>
        <w:t>地</w:t>
      </w:r>
      <w:r>
        <w:rPr>
          <w:rFonts w:ascii="微软雅黑" w:hAnsi="微软雅黑" w:eastAsia="微软雅黑"/>
          <w:b/>
          <w:color w:val="4682B4"/>
          <w:sz w:val="32"/>
        </w:rPr>
        <w:t>产</w:t>
      </w:r>
      <w:r>
        <w:rPr>
          <w:rFonts w:ascii="微软雅黑" w:hAnsi="微软雅黑" w:eastAsia="微软雅黑"/>
          <w:b/>
          <w:color w:val="4682B4"/>
          <w:sz w:val="32"/>
        </w:rPr>
        <w:t>股</w:t>
      </w:r>
      <w:r>
        <w:rPr>
          <w:rFonts w:ascii="微软雅黑" w:hAnsi="微软雅黑" w:eastAsia="微软雅黑"/>
          <w:b/>
          <w:color w:val="4682B4"/>
          <w:sz w:val="32"/>
        </w:rPr>
        <w:t>迎</w:t>
      </w:r>
      <w:r>
        <w:rPr>
          <w:rFonts w:ascii="微软雅黑" w:hAnsi="微软雅黑" w:eastAsia="微软雅黑"/>
          <w:b/>
          <w:color w:val="4682B4"/>
          <w:sz w:val="32"/>
        </w:rPr>
        <w:t>来</w:t>
      </w:r>
      <w:r>
        <w:rPr>
          <w:rFonts w:ascii="微软雅黑" w:hAnsi="微软雅黑" w:eastAsia="微软雅黑"/>
          <w:b/>
          <w:color w:val="4682B4"/>
          <w:sz w:val="32"/>
        </w:rPr>
        <w:t>新</w:t>
      </w:r>
      <w:r>
        <w:rPr>
          <w:rFonts w:ascii="微软雅黑" w:hAnsi="微软雅黑" w:eastAsia="微软雅黑"/>
          <w:b/>
          <w:color w:val="4682B4"/>
          <w:sz w:val="32"/>
        </w:rPr>
        <w:t>一</w:t>
      </w:r>
      <w:r>
        <w:rPr>
          <w:rFonts w:ascii="微软雅黑" w:hAnsi="微软雅黑" w:eastAsia="微软雅黑"/>
          <w:b/>
          <w:color w:val="4682B4"/>
          <w:sz w:val="32"/>
        </w:rPr>
        <w:t>轮</w:t>
      </w:r>
      <w:r>
        <w:rPr>
          <w:rFonts w:ascii="微软雅黑" w:hAnsi="微软雅黑" w:eastAsia="微软雅黑"/>
          <w:b/>
          <w:color w:val="4682B4"/>
          <w:sz w:val="32"/>
        </w:rPr>
        <w:t>涨</w:t>
      </w:r>
      <w:r>
        <w:rPr>
          <w:rFonts w:ascii="微软雅黑" w:hAnsi="微软雅黑" w:eastAsia="微软雅黑"/>
          <w:b/>
          <w:color w:val="4682B4"/>
          <w:sz w:val="32"/>
        </w:rPr>
        <w:t>势</w:t>
      </w:r>
    </w:p>
    <w:p>
      <w:r>
        <w:t>摘要: 【楼市积极信号持续释放 地产股迎来新一轮涨势】8月9日，房地产板块再度爆发。A股早间开盘后房地产板块持续走高，世联行和莱茵体育相继涨停，特发服务盘中一度涨超16%，行业指数盘中最高涨超3.9%。消息面上，近日来多地在“以购代建”、“购房落户”等方面出台的楼市利好政策，为地产股的走高奠定了基础。</w:t>
      </w:r>
      <w:r>
        <w:br/>
        <w:t>公司: 莱茵体育    |</w:t>
      </w:r>
      <w:r>
        <w:t xml:space="preserve">    代码: 000558</w:t>
        <w:br/>
      </w:r>
      <w:r>
        <w:rPr>
          <w:color w:val="000000" w:themeColor="hyperlink"/>
          <w:u w:val="single"/>
        </w:rPr>
        <w:hyperlink r:id="rId18">
          <w:r>
            <w:rPr/>
            <w:t>http://stock.eastmoney.com/a/202408103153092720.html</w:t>
          </w:r>
        </w:hyperlink>
      </w:r>
    </w:p>
    <w:p>
      <w:r>
        <w:br/>
      </w:r>
    </w:p>
    <w:p>
      <w:pPr>
        <w:pStyle w:val="Heading1"/>
      </w:pP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出</w:t>
      </w:r>
      <w:r>
        <w:rPr>
          <w:rFonts w:ascii="微软雅黑" w:hAnsi="微软雅黑" w:eastAsia="微软雅黑"/>
          <w:b/>
          <w:color w:val="4682B4"/>
          <w:sz w:val="32"/>
        </w:rPr>
        <w:t>现</w:t>
      </w:r>
      <w:r>
        <w:rPr>
          <w:rFonts w:ascii="微软雅黑" w:hAnsi="微软雅黑" w:eastAsia="微软雅黑"/>
          <w:b/>
          <w:color w:val="4682B4"/>
          <w:sz w:val="32"/>
        </w:rPr>
        <w:t>券</w:t>
      </w:r>
      <w:r>
        <w:rPr>
          <w:rFonts w:ascii="微软雅黑" w:hAnsi="微软雅黑" w:eastAsia="微软雅黑"/>
          <w:b/>
          <w:color w:val="4682B4"/>
          <w:sz w:val="32"/>
        </w:rPr>
        <w:t>商</w:t>
      </w:r>
      <w:r>
        <w:rPr>
          <w:rFonts w:ascii="微软雅黑" w:hAnsi="微软雅黑" w:eastAsia="微软雅黑"/>
          <w:b/>
          <w:color w:val="4682B4"/>
          <w:sz w:val="32"/>
        </w:rPr>
        <w:t>身</w:t>
      </w:r>
      <w:r>
        <w:rPr>
          <w:rFonts w:ascii="微软雅黑" w:hAnsi="微软雅黑" w:eastAsia="微软雅黑"/>
          <w:b/>
          <w:color w:val="4682B4"/>
          <w:sz w:val="32"/>
        </w:rPr>
        <w:t>影</w:t>
      </w:r>
      <w:r>
        <w:rPr>
          <w:rFonts w:ascii="微软雅黑" w:hAnsi="微软雅黑" w:eastAsia="微软雅黑"/>
          <w:b/>
          <w:color w:val="4682B4"/>
          <w:sz w:val="32"/>
        </w:rPr>
        <w:t>！</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新</w:t>
      </w:r>
      <w:r>
        <w:rPr>
          <w:rFonts w:ascii="微软雅黑" w:hAnsi="微软雅黑" w:eastAsia="微软雅黑"/>
          <w:b/>
          <w:color w:val="4682B4"/>
          <w:sz w:val="32"/>
        </w:rPr>
        <w:t>进</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p>
    <w:p>
      <w:r>
        <w:t>摘要: 上市公司半年报陆续披露，券商持股情况也陆续揭晓。数据显示，截至8月9日，目前已有15家上市公司十大流通股东中出现券商身影。从持股变动情况看，牧原股份二季度遭中信建投证券小幅减仓，顺络电子获申万宏源证券加仓，飞龙股份、华源控股、四方达等公司十大流通股东中新出现券商身影，部分业绩增长公司配置价值获得认可。</w:t>
      </w:r>
      <w:r>
        <w:br/>
        <w:t>公司: 西昌电力    |</w:t>
      </w:r>
      <w:r>
        <w:t xml:space="preserve">    代码: 600505</w:t>
        <w:br/>
      </w:r>
      <w:r>
        <w:rPr>
          <w:color w:val="000000" w:themeColor="hyperlink"/>
          <w:u w:val="single"/>
        </w:rPr>
        <w:hyperlink r:id="rId19">
          <w:r>
            <w:rPr/>
            <w:t>http://finance.eastmoney.com/a/202408113153116179.html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新易盛将于2024年08月12日（星期一）下午14:00，在中国(四川)自由贸易试验区成都市双流区黄甲街道物联大道510号公司会议室召开第二届临时股东大会。</w:t>
      </w:r>
      <w:r>
        <w:br/>
        <w:t>公司: 新易盛    |</w:t>
      </w:r>
      <w:r>
        <w:t xml:space="preserve">    代码: 300502</w:t>
        <w:br/>
      </w:r>
      <w:r>
        <w:rPr>
          <w:color w:val="000000" w:themeColor="hyperlink"/>
          <w:u w:val="single"/>
        </w:rPr>
        <w:hyperlink r:id="rId20">
          <w:r>
            <w:rPr/>
            <w:t>http://stock.eastmoney.com/a/202408113153171939.html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113153214072.html" TargetMode="External"/><Relationship Id="rId10" Type="http://schemas.openxmlformats.org/officeDocument/2006/relationships/hyperlink" Target="http://stock.eastmoney.com/a/202408113153173027.html" TargetMode="External"/><Relationship Id="rId11" Type="http://schemas.openxmlformats.org/officeDocument/2006/relationships/hyperlink" Target="http://stock.eastmoney.com/a/202408113153170885.html" TargetMode="External"/><Relationship Id="rId12" Type="http://schemas.openxmlformats.org/officeDocument/2006/relationships/hyperlink" Target="http://finance.eastmoney.com/a/202408113153184996.html" TargetMode="External"/><Relationship Id="rId13" Type="http://schemas.openxmlformats.org/officeDocument/2006/relationships/hyperlink" Target="http://caifuhao.eastmoney.com/news/20240811160711477113030" TargetMode="External"/><Relationship Id="rId14" Type="http://schemas.openxmlformats.org/officeDocument/2006/relationships/hyperlink" Target="http://finance.eastmoney.com/a/202408113153176167.html" TargetMode="External"/><Relationship Id="rId15" Type="http://schemas.openxmlformats.org/officeDocument/2006/relationships/hyperlink" Target="http://finance.eastmoney.com/a/202408113153175541.html" TargetMode="External"/><Relationship Id="rId16" Type="http://schemas.openxmlformats.org/officeDocument/2006/relationships/hyperlink" Target="http://finance.eastmoney.com/a/202408113153210073.html" TargetMode="External"/><Relationship Id="rId17" Type="http://schemas.openxmlformats.org/officeDocument/2006/relationships/hyperlink" Target="http://finance.eastmoney.com/a/202408113153118420.html" TargetMode="External"/><Relationship Id="rId18" Type="http://schemas.openxmlformats.org/officeDocument/2006/relationships/hyperlink" Target="http://stock.eastmoney.com/a/202408103153092720.html" TargetMode="External"/><Relationship Id="rId19" Type="http://schemas.openxmlformats.org/officeDocument/2006/relationships/hyperlink" Target="http://finance.eastmoney.com/a/202408113153116179.html" TargetMode="External"/><Relationship Id="rId20" Type="http://schemas.openxmlformats.org/officeDocument/2006/relationships/hyperlink" Target="http://stock.eastmoney.com/a/2024081131531719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