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久远银海</w:t>
      </w:r>
    </w:p>
    <w:p>
      <w:pPr>
        <w:pStyle w:val="Heading2"/>
      </w:pPr>
      <w:r>
        <w:t>公司基本资料</w:t>
      </w:r>
    </w:p>
    <w:p>
      <w:r>
        <w:t>公司名称: 四川久远银海软件股份有限公司</w:t>
      </w:r>
    </w:p>
    <w:p>
      <w:r>
        <w:t>英文名称: Sichuan Jiuyuan Yinhai Software Co.,Ltd</w:t>
      </w:r>
    </w:p>
    <w:p>
      <w:r>
        <w:t>A股代码: 002777</w:t>
      </w:r>
    </w:p>
    <w:p>
      <w:r>
        <w:t>A股简称: 久远银海</w:t>
      </w:r>
    </w:p>
    <w:p>
      <w:r>
        <w:t>A股扩位简称: --</w:t>
      </w:r>
    </w:p>
    <w:p>
      <w:r>
        <w:t>曾用名: --</w:t>
      </w:r>
    </w:p>
    <w:p>
      <w:r>
        <w:t>B股代码: --</w:t>
      </w:r>
    </w:p>
    <w:p>
      <w:r>
        <w:t>B股简称: --</w:t>
      </w:r>
    </w:p>
    <w:p>
      <w:r>
        <w:t>H股代码: --</w:t>
      </w:r>
    </w:p>
    <w:p>
      <w:r>
        <w:t>H股简称: --</w:t>
      </w:r>
    </w:p>
    <w:p>
      <w:r>
        <w:t>证券类别: 深交所主板A股</w:t>
      </w:r>
    </w:p>
    <w:p>
      <w:r>
        <w:t>所属东财行业: 信息技术-计算机软件-其他软件服务</w:t>
      </w:r>
    </w:p>
    <w:p>
      <w:r>
        <w:t>上市交易所: 深圳证券交易所</w:t>
      </w:r>
    </w:p>
    <w:p>
      <w:r>
        <w:t>所属证监会行业: 信息传输、软件和信息技术服务业-软件和信息技术服务业</w:t>
      </w:r>
    </w:p>
    <w:p>
      <w:r>
        <w:t>总经理: 连春华</w:t>
      </w:r>
    </w:p>
    <w:p>
      <w:r>
        <w:t>法人代表: 连春华</w:t>
      </w:r>
    </w:p>
    <w:p>
      <w:r>
        <w:t>董秘: 杨成文</w:t>
      </w:r>
    </w:p>
    <w:p>
      <w:r>
        <w:t>董事长: 连春华</w:t>
      </w:r>
    </w:p>
    <w:p>
      <w:r>
        <w:t>证券事务代表: 廖礼波</w:t>
      </w:r>
    </w:p>
    <w:p>
      <w:r>
        <w:t>独立董事: 雷航,李彦,张腾文</w:t>
      </w:r>
    </w:p>
    <w:p>
      <w:r>
        <w:t>联系电话: 028-65516146,028-65516099</w:t>
      </w:r>
    </w:p>
    <w:p>
      <w:r>
        <w:t>电子信箱: public@yinhai.com</w:t>
      </w:r>
    </w:p>
    <w:p>
      <w:r>
        <w:t>传真: 028-65516111</w:t>
      </w:r>
    </w:p>
    <w:p>
      <w:r>
        <w:t>公司网址: www.yinhai.com</w:t>
      </w:r>
    </w:p>
    <w:p>
      <w:r>
        <w:t>办公地址: 四川省成都市三色路163号</w:t>
      </w:r>
    </w:p>
    <w:p>
      <w:r>
        <w:t>注册地址: 成都市高新区科园一路3号</w:t>
      </w:r>
    </w:p>
    <w:p>
      <w:r>
        <w:t>区域: 四川</w:t>
      </w:r>
    </w:p>
    <w:p>
      <w:r>
        <w:t>邮政编码: 610063</w:t>
      </w:r>
    </w:p>
    <w:p>
      <w:r>
        <w:t>注册资本(元): 4.082亿</w:t>
      </w:r>
    </w:p>
    <w:p>
      <w:r>
        <w:t>工商登记: 915101006818136552</w:t>
      </w:r>
    </w:p>
    <w:p>
      <w:r>
        <w:t>雇员人数: 4521</w:t>
      </w:r>
    </w:p>
    <w:p>
      <w:r>
        <w:t>管理人员人数: 23</w:t>
      </w:r>
    </w:p>
    <w:p>
      <w:r>
        <w:t>律师事务所: 北京国枫(成都)律师事务所</w:t>
      </w:r>
    </w:p>
    <w:p>
      <w:r>
        <w:t>会计师事务所: 四川华信(集团)会计师事务所(特殊普通合伙)</w:t>
      </w:r>
    </w:p>
    <w:p>
      <w:r>
        <w:t>公司简介: 四川久远银海软件股份有限公司是智慧民生的服务商,股票代码002777。在30余年的发展历程中,铸实奋斗底色,践行国企担当。秉承“科技服务民生”的使命,弘扬“创新、奋斗、共赢”的企业精神,专注民生领域的信息化服务与创新,为客户和社会创造价值。公司是国家鼓励的重点软件企业和高新技术企业,具备CMMI5、ITSS、信息安全服务等行业一级资质,参与了40余项国际国家标准、行业标准及地方标准的制定,拥有1700余项具备自主知识产权的软件产品和软件著作权。公司聚焦医疗医保、数字政务、智慧城市三大战略方向,面向政府部门和行业生态主体,以四川、西南、华东、华南、华中、华北、西北、东北8大区域及全国30余个分支机构为服务网络,利用大数据、云计算、区块链、人工智能及移动互联等技术,实现科技赋能民生。</w:t>
      </w:r>
    </w:p>
    <w:p>
      <w:r>
        <w:t>经营范围: 一般项目:软件开发;信息系统运行维护服务;信息系统集成服务;网络与信息安全软件开发;网络技术服务;大数据服务;数据处理服务;数据处理和存储支持服务;人工智能公共数据平台;人工智能基础软件开发;人工智能应用软件开发;人工智能理论与算法软件开发;人工智能通用应用系统;人工智能行业应用系统集成服务;智能机器人的研发;云计算装备技术服务;物联网技术服务;互联网数据服务;计算机系统服务;信息技术咨询服务;技术服务、技术开发、技术咨询、技术交流、技术转让、技术推广;集成电路设计;计算机软硬件及外围设备制造;计算机软硬件及辅助设备零售;计算机软硬件及辅助设备批发;计算机及通讯设备租赁;网络设备制造;网络设备销售;通讯设备销售;电子产品销售;文化、办公用设备制造;办公设备销售;办公设备租赁服务;货币专用设备制造;货币专用设备销售;第二类医疗器械销售;软件外包服务;货物进出口;技术进出口;教育咨询服务(不含涉许可审批的教育培训活动);健康咨询服务(不含诊疗服务);非居住房地产租赁。(除依法须经批准的项目外,凭营业执照依法自主开展经营活动)许可项目:第二类增值电信业务;建筑智能化系统设计;药品零售。(依法须经批准的项目,经相关部门批准后方可开展经营活动,具体经营项目以相关部门批准文件或许可证件为准)</w:t>
      </w:r>
    </w:p>
    <w:p>
      <w:pPr>
        <w:pStyle w:val="Heading2"/>
      </w:pPr>
      <w:r>
        <w:t>发行相关信息</w:t>
      </w:r>
    </w:p>
    <w:p>
      <w:r>
        <w:t>保荐机构: 广发证券股份有限公司</w:t>
      </w:r>
    </w:p>
    <w:p>
      <w:r>
        <w:t>主承销商: 广发证券股份有限公司</w:t>
      </w:r>
    </w:p>
    <w:p>
      <w:r>
        <w:t>成立日期: 2008-11-24</w:t>
      </w:r>
    </w:p>
    <w:p>
      <w:r>
        <w:t>上市日期: 2015-12-31</w:t>
      </w:r>
    </w:p>
    <w:p>
      <w:r>
        <w:t>发行市盈率(倍): 17.72</w:t>
      </w:r>
    </w:p>
    <w:p>
      <w:r>
        <w:t>网上发行日期: 2015-12-23</w:t>
      </w:r>
    </w:p>
    <w:p>
      <w:r>
        <w:t>发行方式: 网上定价发行,网下询价配售,市值申购</w:t>
      </w:r>
    </w:p>
    <w:p>
      <w:r>
        <w:t>每股面值(元): 1</w:t>
      </w:r>
    </w:p>
    <w:p>
      <w:r>
        <w:t>发行量(股): 2000万</w:t>
      </w:r>
    </w:p>
    <w:p>
      <w:r>
        <w:t>每股发行价(元): 11.46</w:t>
      </w:r>
    </w:p>
    <w:p>
      <w:r>
        <w:t>发行费用(元): 4015万</w:t>
      </w:r>
    </w:p>
    <w:p>
      <w:r>
        <w:t>发行总市值(元): 2.292亿</w:t>
      </w:r>
    </w:p>
    <w:p>
      <w:r>
        <w:t>募集资金净额(元): 1.891亿</w:t>
      </w:r>
    </w:p>
    <w:p>
      <w:r>
        <w:t>首日开盘价(元): 13.75</w:t>
      </w:r>
    </w:p>
    <w:p>
      <w:r>
        <w:t>首日收盘价(元): 16.50</w:t>
      </w:r>
    </w:p>
    <w:p>
      <w:r>
        <w:t>首日换手率: 0.05%</w:t>
      </w:r>
    </w:p>
    <w:p>
      <w:r>
        <w:t>首日最高价(元): 16.50</w:t>
      </w:r>
    </w:p>
    <w:p>
      <w:r>
        <w:t>网下配售中签率: 0.04%</w:t>
      </w:r>
    </w:p>
    <w:p>
      <w:r>
        <w:t>定价中签率: 0.14%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