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创意信息</w:t>
      </w:r>
    </w:p>
    <w:p>
      <w:pPr>
        <w:pStyle w:val="Heading2"/>
      </w:pPr>
      <w:r>
        <w:t>公司基本资料</w:t>
      </w:r>
    </w:p>
    <w:p>
      <w:r>
        <w:t>公司名称: 创意信息技术股份有限公司</w:t>
      </w:r>
    </w:p>
    <w:p>
      <w:r>
        <w:t>英文名称: Troy Information Technology Co.,Ltd.</w:t>
      </w:r>
    </w:p>
    <w:p>
      <w:r>
        <w:t>A股代码: 300366</w:t>
      </w:r>
    </w:p>
    <w:p>
      <w:r>
        <w:t>A股简称: 创意信息</w:t>
      </w:r>
    </w:p>
    <w:p>
      <w:r>
        <w:t>A股扩位简称: --</w:t>
      </w:r>
    </w:p>
    <w:p>
      <w:r>
        <w:t>曾用名: N创意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信息技术-计算机软件-其他软件服务</w:t>
      </w:r>
    </w:p>
    <w:p>
      <w:r>
        <w:t>上市交易所: 深圳证券交易所</w:t>
      </w:r>
    </w:p>
    <w:p>
      <w:r>
        <w:t>所属证监会行业: 信息传输、软件和信息技术服务业-软件和信息技术服务业</w:t>
      </w:r>
    </w:p>
    <w:p>
      <w:r>
        <w:t>总经理: 王震</w:t>
      </w:r>
    </w:p>
    <w:p>
      <w:r>
        <w:t>法人代表: 陆文斌</w:t>
      </w:r>
    </w:p>
    <w:p>
      <w:r>
        <w:t>董秘: 黄建蓉</w:t>
      </w:r>
    </w:p>
    <w:p>
      <w:r>
        <w:t>董事长: 陆文斌</w:t>
      </w:r>
    </w:p>
    <w:p>
      <w:r>
        <w:t>证券事务代表: 罗群</w:t>
      </w:r>
    </w:p>
    <w:p>
      <w:r>
        <w:t>独立董事: 屈鸿,王雪,马桦</w:t>
      </w:r>
    </w:p>
    <w:p>
      <w:r>
        <w:t>联系电话: 028-87825555,028-87827800</w:t>
      </w:r>
    </w:p>
    <w:p>
      <w:r>
        <w:t>电子信箱: zq@troy.cn</w:t>
      </w:r>
    </w:p>
    <w:p>
      <w:r>
        <w:t>传真: 028-87825625</w:t>
      </w:r>
    </w:p>
    <w:p>
      <w:r>
        <w:t>公司网址: www.troy.cn</w:t>
      </w:r>
    </w:p>
    <w:p>
      <w:r>
        <w:t>办公地址: 四川省成都市高新西区西芯大道28号</w:t>
      </w:r>
    </w:p>
    <w:p>
      <w:r>
        <w:t>注册地址: 成都市青羊区红星路一段86号1栋222号</w:t>
      </w:r>
    </w:p>
    <w:p>
      <w:r>
        <w:t>区域: 四川</w:t>
      </w:r>
    </w:p>
    <w:p>
      <w:r>
        <w:t>邮政编码: 611731</w:t>
      </w:r>
    </w:p>
    <w:p>
      <w:r>
        <w:t>注册资本(元): 6.076亿</w:t>
      </w:r>
    </w:p>
    <w:p>
      <w:r>
        <w:t>工商登记: 91510000201892738J</w:t>
      </w:r>
    </w:p>
    <w:p>
      <w:r>
        <w:t>雇员人数: 1682</w:t>
      </w:r>
    </w:p>
    <w:p>
      <w:r>
        <w:t>管理人员人数: 18</w:t>
      </w:r>
    </w:p>
    <w:p>
      <w:r>
        <w:t>律师事务所: 北京中伦(成都)律师事务所</w:t>
      </w:r>
    </w:p>
    <w:p>
      <w:r>
        <w:t>会计师事务所: 信永中和会计师事务所(特殊普通合伙)</w:t>
      </w:r>
    </w:p>
    <w:p>
      <w:r>
        <w:t>公司简介: 创意信息技术股份有限公司成立于1996年,于2014年在深交所上市,经过多年发展,公司已成为国内极少数具备数字化转型全栈核心能力的企业之一,旗下拥有操作系统、数据库、大数据、5G等自主可控核心技术产品,卫星互联网、人工智能、物联网、云/边缘计算等信息技术及解决方案,同时投资布局工业CAD软件等硬核技术产品,已为运营商、能源、金融、政府、交通等领域超过700家大型政企客户提供数字化转型服务。</w:t>
      </w:r>
    </w:p>
    <w:p>
      <w:r>
        <w:t>经营范围: 一般项目:信息系统集成服务;信息技术咨询服务;信息系统运行维护服务;信息咨询服务(不含许可类信息咨询服务);技术服务、技术开发、技术咨询、技术交流、技术转让、技术推广;软件开发;计算机系统服务;大数据服务;数字技术服务;互联网数据服务;在线能源监测技术研发;输配电及控制设备制造;配电开关控制设备制造;物联网技术服务;物联网设备销售;物联网应用服务;人工智能行业应用系统集成服务;人工智能通用应用系统;人工智能基础软件开发;人工智能应用软件开发;数据处理和存储支持服务;工业互联网数据服务;网络与信息安全软件开发;云计算装备技术服务;移动通信设备销售;5G通信技术服务;数据处理服务;计算机软硬件及辅助设备零售;人工智能基础资源与技术平台;电气设备销售;安防设备制造(限分支机构经营);安防设备销售。(除依法须经批准的项目外,凭营业执照依法自主开展经营活动)许可项目:第一类增值电信业务;互联网信息服务;第二类增值电信业务;计算机信息系统安全专用产品销售。(依法须经批准的项目,经相关部门批准后方可开展经营活动,具体经营项目以相关部门批准文件或许可证件为准)</w:t>
      </w:r>
    </w:p>
    <w:p>
      <w:pPr>
        <w:pStyle w:val="Heading2"/>
      </w:pPr>
      <w:r>
        <w:t>发行相关信息</w:t>
      </w:r>
    </w:p>
    <w:p>
      <w:r>
        <w:t>保荐机构: 招商证券股份有限公司</w:t>
      </w:r>
    </w:p>
    <w:p>
      <w:r>
        <w:t>主承销商: 招商证券股份有限公司</w:t>
      </w:r>
    </w:p>
    <w:p>
      <w:r>
        <w:t>成立日期: 1996-12-09</w:t>
      </w:r>
    </w:p>
    <w:p>
      <w:r>
        <w:t>上市日期: 2014-01-27</w:t>
      </w:r>
    </w:p>
    <w:p>
      <w:r>
        <w:t>发行市盈率(倍): 27.08</w:t>
      </w:r>
    </w:p>
    <w:p>
      <w:r>
        <w:t>网上发行日期: 2014-01-16</w:t>
      </w:r>
    </w:p>
    <w:p>
      <w:r>
        <w:t>发行方式: 市值申购,网上定价发行,网下询价配售</w:t>
      </w:r>
    </w:p>
    <w:p>
      <w:r>
        <w:t>每股面值(元): 1</w:t>
      </w:r>
    </w:p>
    <w:p>
      <w:r>
        <w:t>发行量(股): 1429万</w:t>
      </w:r>
    </w:p>
    <w:p>
      <w:r>
        <w:t>每股发行价(元): 18.11</w:t>
      </w:r>
    </w:p>
    <w:p>
      <w:r>
        <w:t>发行费用(元): 2502万</w:t>
      </w:r>
    </w:p>
    <w:p>
      <w:r>
        <w:t>发行总市值(元): 2.587亿</w:t>
      </w:r>
    </w:p>
    <w:p>
      <w:r>
        <w:t>募集资金净额(元): 1.045亿</w:t>
      </w:r>
    </w:p>
    <w:p>
      <w:r>
        <w:t>首日开盘价(元): 21.73</w:t>
      </w:r>
    </w:p>
    <w:p>
      <w:r>
        <w:t>首日收盘价(元): 26.08</w:t>
      </w:r>
    </w:p>
    <w:p>
      <w:r>
        <w:t>首日换手率: 2.40%</w:t>
      </w:r>
    </w:p>
    <w:p>
      <w:r>
        <w:t>首日最高价(元): 26.08</w:t>
      </w:r>
    </w:p>
    <w:p>
      <w:r>
        <w:t>网下配售中签率: 10.24%</w:t>
      </w:r>
    </w:p>
    <w:p>
      <w:r>
        <w:t>定价中签率: 1.08%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