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千里科技</w:t>
      </w:r>
    </w:p>
    <w:p>
      <w:pPr>
        <w:pStyle w:val="Heading2"/>
      </w:pPr>
      <w:r>
        <w:t>公司基本资料</w:t>
      </w:r>
    </w:p>
    <w:p>
      <w:r>
        <w:t>公司名称: 重庆千里科技股份有限公司</w:t>
      </w:r>
    </w:p>
    <w:p>
      <w:r>
        <w:t>英文名称: Lifan Technology(Group)Co.,Ltd.</w:t>
      </w:r>
    </w:p>
    <w:p>
      <w:r>
        <w:t>A股代码: 601777</w:t>
      </w:r>
    </w:p>
    <w:p>
      <w:r>
        <w:t>A股简称: 千里科技</w:t>
      </w:r>
    </w:p>
    <w:p>
      <w:r>
        <w:t>A股扩位简称: --</w:t>
      </w:r>
    </w:p>
    <w:p>
      <w:r>
        <w:t>曾用名: 力帆股份→*ST力帆→ST力帆→力帆科技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交运设备-汽车-乘用车</w:t>
      </w:r>
    </w:p>
    <w:p>
      <w:r>
        <w:t>上市交易所: 上海证券交易所</w:t>
      </w:r>
    </w:p>
    <w:p>
      <w:r>
        <w:t>所属证监会行业: 制造业-汽车制造业</w:t>
      </w:r>
    </w:p>
    <w:p>
      <w:r>
        <w:t>总经理: 周宗成</w:t>
      </w:r>
    </w:p>
    <w:p>
      <w:r>
        <w:t>法人代表: 印奇</w:t>
      </w:r>
    </w:p>
    <w:p>
      <w:r>
        <w:t>董秘: 夏雨扬、印奇(代)</w:t>
      </w:r>
    </w:p>
    <w:p>
      <w:r>
        <w:t>董事长: 印奇</w:t>
      </w:r>
    </w:p>
    <w:p>
      <w:r>
        <w:t>证券事务代表: 李心心</w:t>
      </w:r>
    </w:p>
    <w:p>
      <w:r>
        <w:t>独立董事: 任晓常,肖翔,窦军生</w:t>
      </w:r>
    </w:p>
    <w:p>
      <w:r>
        <w:t>联系电话: 023-61663050</w:t>
      </w:r>
    </w:p>
    <w:p>
      <w:r>
        <w:t>电子信箱: mail@lifan.com</w:t>
      </w:r>
    </w:p>
    <w:p>
      <w:r>
        <w:t>传真: 023-65213175</w:t>
      </w:r>
    </w:p>
    <w:p>
      <w:r>
        <w:t>公司网址: www.lifan.com</w:t>
      </w:r>
    </w:p>
    <w:p>
      <w:r>
        <w:t>办公地址: 重庆市北碚区蔡家岗镇凤栖路16号</w:t>
      </w:r>
    </w:p>
    <w:p>
      <w:r>
        <w:t>注册地址: 重庆市两江新区金山大道黄环北路2号</w:t>
      </w:r>
    </w:p>
    <w:p>
      <w:r>
        <w:t>区域: 重庆</w:t>
      </w:r>
    </w:p>
    <w:p>
      <w:r>
        <w:t>邮政编码: 400707</w:t>
      </w:r>
    </w:p>
    <w:p>
      <w:r>
        <w:t>注册资本(元): 45.21亿</w:t>
      </w:r>
    </w:p>
    <w:p>
      <w:r>
        <w:t>工商登记: 915000006220209463</w:t>
      </w:r>
    </w:p>
    <w:p>
      <w:r>
        <w:t>雇员人数: 5178</w:t>
      </w:r>
    </w:p>
    <w:p>
      <w:r>
        <w:t>管理人员人数: 19</w:t>
      </w:r>
    </w:p>
    <w:p>
      <w:r>
        <w:t>律师事务所: 北京市环球律师事务所上海分所</w:t>
      </w:r>
    </w:p>
    <w:p>
      <w:r>
        <w:t>会计师事务所: 天职国际会计师事务所(特殊普通合伙)</w:t>
      </w:r>
    </w:p>
    <w:p>
      <w:r>
        <w:t>公司简介: 重庆千里科技股份有限公司(以下简称“千里科技”)聚焦“AI+车”核心战略,创新产业发展模式,致力于打造面向全球市场的智能出行科技品牌。公司核心业务包括终端业务与科技业务两大板块,其中终端业务覆盖摩托车、汽车领域,旗下摩托车品牌“力帆、派方”和新能源汽车品牌“睿蓝”形成多元化产品矩阵;科技业务聚焦研发行业领先的智能驾驶和智能座舱解决方案,打造AI智行开放平台。千里科技的前身是重庆民营企业代表力帆科技,创立于1992年,并于2010年11月25日在上海证券交易所成功上市,是中国首家在A股上市的民营乘用车企业,股票代码为601777。2024年11月,中国人工智能领域代表人物印奇出任董事长;2025年2月,公司正式更名为“千里科技”,全面迈向智能化、国际化的新发展阶段。</w:t>
      </w:r>
    </w:p>
    <w:p>
      <w:r>
        <w:t>经营范围: 一般项目:研制、开发、生产、销售:汽车、汽车发动机、摩托车、摩托车发动机、车辆配件、摩托车配件、小型汽油机及配件、电动自行车及配件、汽油机助力车及配件;销售:有色金属(不含贵金属)、金属材料、金属制品、白银饰品、计算机、体育(限汽车、摩托车运动)及运动产品(不含研制、生产);为本企业研制、生产、销售的产品提供售后服务;经营本企业研制开发的技术和生产的科技产品的出口业务;经营本企业科研和生产所需的技术、原辅材料、机械设备、仪器仪表、零配件的进口业务,经营本企业的进料加工和“三来一补”业务;经济信息咨询服务;批发、零售:润滑油、润滑脂;普通货运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国泰君安证券股份有限公司</w:t>
      </w:r>
    </w:p>
    <w:p>
      <w:r>
        <w:t>主承销商: 国泰君安证券股份有限公司</w:t>
      </w:r>
    </w:p>
    <w:p>
      <w:r>
        <w:t>成立日期: 1997-12-01</w:t>
      </w:r>
    </w:p>
    <w:p>
      <w:r>
        <w:t>上市日期: 2010-11-25</w:t>
      </w:r>
    </w:p>
    <w:p>
      <w:r>
        <w:t>发行市盈率(倍): 45.31</w:t>
      </w:r>
    </w:p>
    <w:p>
      <w:r>
        <w:t>网上发行日期: 2010-11-15</w:t>
      </w:r>
    </w:p>
    <w:p>
      <w:r>
        <w:t>发行方式: 网下询价配售</w:t>
      </w:r>
    </w:p>
    <w:p>
      <w:r>
        <w:t>每股面值(元): 1</w:t>
      </w:r>
    </w:p>
    <w:p>
      <w:r>
        <w:t>发行量(股): 2.000亿</w:t>
      </w:r>
    </w:p>
    <w:p>
      <w:r>
        <w:t>每股发行价(元): 14.50</w:t>
      </w:r>
    </w:p>
    <w:p>
      <w:r>
        <w:t>发行费用(元): 1.056亿</w:t>
      </w:r>
    </w:p>
    <w:p>
      <w:r>
        <w:t>发行总市值(元): 29.00亿</w:t>
      </w:r>
    </w:p>
    <w:p>
      <w:r>
        <w:t>募集资金净额(元): 27.94亿</w:t>
      </w:r>
    </w:p>
    <w:p>
      <w:r>
        <w:t>首日开盘价(元): 19.90</w:t>
      </w:r>
    </w:p>
    <w:p>
      <w:r>
        <w:t>首日收盘价(元): 17.87</w:t>
      </w:r>
    </w:p>
    <w:p>
      <w:r>
        <w:t>首日换手率: 68.89%</w:t>
      </w:r>
    </w:p>
    <w:p>
      <w:r>
        <w:t>首日最高价(元): 19.90</w:t>
      </w:r>
    </w:p>
    <w:p>
      <w:r>
        <w:t>网下配售中签率: 1.74%</w:t>
      </w:r>
    </w:p>
    <w:p>
      <w:r>
        <w:t>定价中签率: 0.71%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