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华丰科技</w:t>
      </w:r>
    </w:p>
    <w:p>
      <w:pPr>
        <w:pStyle w:val="Heading2"/>
      </w:pPr>
      <w:r>
        <w:t>公司基本资料</w:t>
      </w:r>
    </w:p>
    <w:p>
      <w:r>
        <w:t>公司名称: 四川华丰科技股份有限公司</w:t>
      </w:r>
    </w:p>
    <w:p>
      <w:r>
        <w:t>英文名称: Sichuan Huafeng Technology Co., LTD.</w:t>
      </w:r>
    </w:p>
    <w:p>
      <w:r>
        <w:t>A股代码: 688629</w:t>
      </w:r>
    </w:p>
    <w:p>
      <w:r>
        <w:t>A股简称: 华丰科技</w:t>
      </w:r>
    </w:p>
    <w:p>
      <w:r>
        <w:t>A股扩位简称: 四川华丰科技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上交所科创板A股</w:t>
      </w:r>
    </w:p>
    <w:p>
      <w:r>
        <w:t>所属东财行业: 电子设备-电子设备制造-电子设备制造</w:t>
      </w:r>
    </w:p>
    <w:p>
      <w:r>
        <w:t>上市交易所: 上海证券交易所</w:t>
      </w:r>
    </w:p>
    <w:p>
      <w:r>
        <w:t>所属证监会行业: 制造业-计算机、通信和其他电子设备制造业</w:t>
      </w:r>
    </w:p>
    <w:p>
      <w:r>
        <w:t>总经理: 刘太国</w:t>
      </w:r>
    </w:p>
    <w:p>
      <w:r>
        <w:t>法人代表: 杨艳辉</w:t>
      </w:r>
    </w:p>
    <w:p>
      <w:r>
        <w:t>董秘: 蒋道才</w:t>
      </w:r>
    </w:p>
    <w:p>
      <w:r>
        <w:t>董事长: 杨艳辉</w:t>
      </w:r>
    </w:p>
    <w:p>
      <w:r>
        <w:t>证券事务代表: 范晨霞</w:t>
      </w:r>
    </w:p>
    <w:p>
      <w:r>
        <w:t>独立董事: 李锋,向锦武,赖黎</w:t>
      </w:r>
    </w:p>
    <w:p>
      <w:r>
        <w:t>联系电话: 0816-2330358</w:t>
      </w:r>
    </w:p>
    <w:p>
      <w:r>
        <w:t>电子信箱: security@huafeng796.com</w:t>
      </w:r>
    </w:p>
    <w:p>
      <w:r>
        <w:t>传真: 0816-2335606</w:t>
      </w:r>
    </w:p>
    <w:p>
      <w:r>
        <w:t>公司网址: www.huafeng796.com</w:t>
      </w:r>
    </w:p>
    <w:p>
      <w:r>
        <w:t>办公地址: 四川省绵阳市经开区三江大道118号</w:t>
      </w:r>
    </w:p>
    <w:p>
      <w:r>
        <w:t>注册地址: 四川省绵阳市经开区三江大道118号</w:t>
      </w:r>
    </w:p>
    <w:p>
      <w:r>
        <w:t>区域: 四川</w:t>
      </w:r>
    </w:p>
    <w:p>
      <w:r>
        <w:t>邮政编码: 621000</w:t>
      </w:r>
    </w:p>
    <w:p>
      <w:r>
        <w:t>注册资本(元): 4.610亿</w:t>
      </w:r>
    </w:p>
    <w:p>
      <w:r>
        <w:t>工商登记: 91510703205401254W</w:t>
      </w:r>
    </w:p>
    <w:p>
      <w:r>
        <w:t>雇员人数: 2222</w:t>
      </w:r>
    </w:p>
    <w:p>
      <w:r>
        <w:t>管理人员人数: 15</w:t>
      </w:r>
    </w:p>
    <w:p>
      <w:r>
        <w:t>律师事务所: 上海市锦天城律师事务所</w:t>
      </w:r>
    </w:p>
    <w:p>
      <w:r>
        <w:t>会计师事务所: 北京大华国际会计师事务所(特殊普通合伙)</w:t>
      </w:r>
    </w:p>
    <w:p>
      <w:r>
        <w:t>公司简介: 四川华丰科技股份有限公司,全球光电连接器及互连方案提供商。1958年引进俄标连接器生产技术,开启连接器中国造之路。1981年主编连接器技术研究期刊《机电元件》创刊全国发行。1984年引进美标连接器生产线及技术。1987年开始制定连接器中国国家标准。2016年制定电源连接器IEC国际标准。从技术引进到自主创新,再到为全球提供互连技术服务,华丰行稳致远。我们搭建连接器正向研发平台,重点研制背板总线、印制板夹层总线与I/O总线的高速连接器及光模块,20余年持续研发,提供传输速率1.25Gbps至112Gbps的高速互连方案,在高速率传输同时提升在高振动环境中的高可靠性,满足通信装备的快速发展应用需求。研制装备整体互连解决方案的“系统互连”产品,可将装备信息系统的高速、射频、电源、光等多种信号进行识别处理和集成传输,实现装备系统间、系统内设备间以无缆化、模块化、无线化、总线化和智能化的快速连接,解决设备的电磁防护、小型化、快速维护维修等问题。研制装备系统间互连电缆网和柔性电缆网,根据用户需求设计电路,抗电磁干扰性能优异、连接可靠性高、重量轻。研制的连接器从低频到高频、从电口到光口,从标准型到特殊定制,能适应深海环境(70兆帕)、高压环境(100千伏)、高振动冲击环境、电磁波干扰环境、高低温环境(-70℃~+700℃)、太空宇航环境等多种特殊环境。为用户提供互连解决方案一站式服务。秉承“可靠连接源于华丰”的“可靠”文化。建有连接器制造全工序的智能化工厂和完善的质量保证体系,从连接器的接触件制造、绝缘体塑压、壳体加工、表面处理、装配、包装全工序实现自动化生产、自动完成检测分拣,质量可控可追溯。我们努力追求连接器的高可靠性、安全性、环保性,致力于向全球防务装备、通讯装备、轨道交通装备和新能源汽车提供更专业、更可靠、更智能的互连技术和产品。</w:t>
      </w:r>
    </w:p>
    <w:p>
      <w:r>
        <w:t>经营范围: 电力电子元器件制造;电力电子元器件销售;电子专用材料研发;机械电气设备制造;机械电气设备销售;模具制造;模具销售;电子元器件与机电组件设备制造;电子元器件与机电组件设备销售;光通信设备制造;光通信设备销售;光电子器件制造;光电子器件销售;机械零件、零部件加工;机械零件、零部件销售;科技中介服务;人力资源服务(不含职业中介活动、劳务派遣服务);货物进出口;技术进出口;电镀加工;塑胶表面处理;再生资源销售。(以工商登记为准)</w:t>
      </w:r>
    </w:p>
    <w:p>
      <w:pPr>
        <w:pStyle w:val="Heading2"/>
      </w:pPr>
      <w:r>
        <w:t>发行相关信息</w:t>
      </w:r>
    </w:p>
    <w:p>
      <w:r>
        <w:t>保荐机构: 申万宏源证券承销保荐有限责任公司</w:t>
      </w:r>
    </w:p>
    <w:p>
      <w:r>
        <w:t>主承销商: 申万宏源证券承销保荐有限责任公司</w:t>
      </w:r>
    </w:p>
    <w:p>
      <w:r>
        <w:t>成立日期: 1994-11-21</w:t>
      </w:r>
    </w:p>
    <w:p>
      <w:r>
        <w:t>上市日期: 2023-06-27</w:t>
      </w:r>
    </w:p>
    <w:p>
      <w:r>
        <w:t>发行市盈率(倍): 59.51</w:t>
      </w:r>
    </w:p>
    <w:p>
      <w:r>
        <w:t>网上发行日期: 2023-06-14</w:t>
      </w:r>
    </w:p>
    <w:p>
      <w:r>
        <w:t>发行方式: 战略配售,网下询价配售,网上定价发行,市值申购,保荐机构参与配售,高管员工参与配售</w:t>
      </w:r>
    </w:p>
    <w:p>
      <w:r>
        <w:t>每股面值(元): 1</w:t>
      </w:r>
    </w:p>
    <w:p>
      <w:r>
        <w:t>发行量(股): 6915万</w:t>
      </w:r>
    </w:p>
    <w:p>
      <w:r>
        <w:t>每股发行价(元): 9.26</w:t>
      </w:r>
    </w:p>
    <w:p>
      <w:r>
        <w:t>发行费用(元): 6884万</w:t>
      </w:r>
    </w:p>
    <w:p>
      <w:r>
        <w:t>发行总市值(元): 6.403亿</w:t>
      </w:r>
    </w:p>
    <w:p>
      <w:r>
        <w:t>募集资金净额(元): 5.715亿</w:t>
      </w:r>
    </w:p>
    <w:p>
      <w:r>
        <w:t>首日开盘价(元): 21.00</w:t>
      </w:r>
    </w:p>
    <w:p>
      <w:r>
        <w:t>首日收盘价(元): 23.11</w:t>
      </w:r>
    </w:p>
    <w:p>
      <w:r>
        <w:t>首日换手率: 93.76%</w:t>
      </w:r>
    </w:p>
    <w:p>
      <w:r>
        <w:t>首日最高价(元): 23.58</w:t>
      </w:r>
    </w:p>
    <w:p>
      <w:r>
        <w:t>网下配售中签率: 0.03%</w:t>
      </w:r>
    </w:p>
    <w:p>
      <w:r>
        <w:t>定价中签率: 0.05%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