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博瑞传播</w:t>
      </w:r>
    </w:p>
    <w:p>
      <w:pPr>
        <w:pStyle w:val="Heading2"/>
      </w:pPr>
      <w:r>
        <w:t>公司基本资料</w:t>
      </w:r>
    </w:p>
    <w:p>
      <w:r>
        <w:t>公司名称: 成都博瑞传播股份有限公司</w:t>
      </w:r>
    </w:p>
    <w:p>
      <w:r>
        <w:t>英文名称: Chengdu B-Ray Media Co.,Ltd.</w:t>
      </w:r>
    </w:p>
    <w:p>
      <w:r>
        <w:t>A股代码: 600880</w:t>
      </w:r>
    </w:p>
    <w:p>
      <w:r>
        <w:t>A股简称: 博瑞传播</w:t>
      </w:r>
    </w:p>
    <w:p>
      <w:r>
        <w:t>A股扩位简称: --</w:t>
      </w:r>
    </w:p>
    <w:p>
      <w:r>
        <w:t>曾用名: 四川电器→博瑞传播→G博瑞</w:t>
      </w:r>
    </w:p>
    <w:p>
      <w:r>
        <w:t>B股代码: --</w:t>
      </w:r>
    </w:p>
    <w:p>
      <w:r>
        <w:t>B股简称: --</w:t>
      </w:r>
    </w:p>
    <w:p>
      <w:r>
        <w:t>H股代码: --</w:t>
      </w:r>
    </w:p>
    <w:p>
      <w:r>
        <w:t>H股简称: --</w:t>
      </w:r>
    </w:p>
    <w:p>
      <w:r>
        <w:t>证券类别: 上交所主板A股</w:t>
      </w:r>
    </w:p>
    <w:p>
      <w:r>
        <w:t>所属东财行业: 文化传媒-教育-教育信息化服务</w:t>
      </w:r>
    </w:p>
    <w:p>
      <w:r>
        <w:t>上市交易所: 上海证券交易所</w:t>
      </w:r>
    </w:p>
    <w:p>
      <w:r>
        <w:t>所属证监会行业: 文化、体育和娱乐业-新闻和出版业</w:t>
      </w:r>
    </w:p>
    <w:p>
      <w:r>
        <w:t>总经理: 张涛</w:t>
      </w:r>
    </w:p>
    <w:p>
      <w:r>
        <w:t>法人代表: 母涛</w:t>
      </w:r>
    </w:p>
    <w:p>
      <w:r>
        <w:t>董秘: 苟军</w:t>
      </w:r>
    </w:p>
    <w:p>
      <w:r>
        <w:t>董事长: 母涛</w:t>
      </w:r>
    </w:p>
    <w:p>
      <w:r>
        <w:t>证券事务代表: 王薇</w:t>
      </w:r>
    </w:p>
    <w:p>
      <w:r>
        <w:t>独立董事: 王雪,黄勤,金巍</w:t>
      </w:r>
    </w:p>
    <w:p>
      <w:r>
        <w:t>联系电话: 028-87651183,028-62560962</w:t>
      </w:r>
    </w:p>
    <w:p>
      <w:r>
        <w:t>电子信箱: bray600880@163.com</w:t>
      </w:r>
    </w:p>
    <w:p>
      <w:r>
        <w:t>传真: 028-87651183</w:t>
      </w:r>
    </w:p>
    <w:p>
      <w:r>
        <w:t>公司网址: www.b-raymedia.com</w:t>
      </w:r>
    </w:p>
    <w:p>
      <w:r>
        <w:t>办公地址: 成都市锦江区三色路38号成都传媒大厦23楼</w:t>
      </w:r>
    </w:p>
    <w:p>
      <w:r>
        <w:t>注册地址: 成都市锦江工业园区</w:t>
      </w:r>
    </w:p>
    <w:p>
      <w:r>
        <w:t>区域: 四川</w:t>
      </w:r>
    </w:p>
    <w:p>
      <w:r>
        <w:t>邮政编码: 610063</w:t>
      </w:r>
    </w:p>
    <w:p>
      <w:r>
        <w:t>注册资本(元): 10.93亿</w:t>
      </w:r>
    </w:p>
    <w:p>
      <w:r>
        <w:t>工商登记: 915101007203362901</w:t>
      </w:r>
    </w:p>
    <w:p>
      <w:r>
        <w:t>雇员人数: 617</w:t>
      </w:r>
    </w:p>
    <w:p>
      <w:r>
        <w:t>管理人员人数: 10</w:t>
      </w:r>
    </w:p>
    <w:p>
      <w:r>
        <w:t>律师事务所: 四川商信律师事务所</w:t>
      </w:r>
    </w:p>
    <w:p>
      <w:r>
        <w:t>会计师事务所: 信永中和会计师事务所(特殊普通合伙)</w:t>
      </w:r>
    </w:p>
    <w:p>
      <w:r>
        <w:t>公司简介: 成都博瑞传播股份有限公司(以下简称“公司”)系在上海证券交易所挂牌交易的传媒类上市公司(SH600880),注册地位于成都市锦江创意产业商务区。1995年11月15日,经中国证监会批准,公司股票在上交所挂牌上市。1999年,公司实施资产重组,将围绕《成都商报》的优质媒体经营业务置换进上市公司,成为资本市场上的“传媒第一股”。公司围绕文化传媒领域,以“传统媒体运营服务商、新兴媒体内容提供商,文化产业战略投资者”的发展战略为指导,实施了多轮并购工作。2003年主办树德博瑞实验学校,切入以K12教育为主的教育产业;2007年进军户外广告领域,并逐步搭建全国公交户外广告平台;2009年全资收购成都梦工厂网络信息有限公司,进军新媒体游戏领域,2013年收购北京漫游谷信息技术有限公司,完成了公司在新媒体游戏研发行业“端游+页游+手游”的全产品布局。主要经营业务集中在教育、游戏、广告。2019年将是博瑞传播夯基蓄势、产业加速升级转型、业务模式创新、经营业绩大幅改善的冲刺年。时值公司董事会换届,新班子将全面围绕“现代传播、教育培训、数字流量新经济”三大产业方向的发展战略,拿出新举措,切实提质增效、优化存量,开拓创新、寻求增量,做强做大做优主营业务,提升公司的核心竞争力和可持续发展能力,成为全市文创新经济发展的主引擎。</w:t>
      </w:r>
    </w:p>
    <w:p>
      <w:r>
        <w:t>经营范围: 数字文化创意内容应用服务;文化场馆管理服务、社会经济咨询服务;广告设计、代理;广告制作;广告发布;信息技术咨询服务、信息咨询服务(不含许可类信息咨询服务)、企业总部管理;软件开发;技术服务、技术开发、技术咨询、技术交流、技术转让、技术推广;信息系统集成服务;互联网数据服务;计算机软硬件及辅助设备批发;出版物批发。</w:t>
      </w:r>
    </w:p>
    <w:p>
      <w:pPr>
        <w:pStyle w:val="Heading2"/>
      </w:pPr>
      <w:r>
        <w:t>发行相关信息</w:t>
      </w:r>
    </w:p>
    <w:p>
      <w:r>
        <w:t>保荐机构: 华夏证券有限公司,成都证券公司</w:t>
      </w:r>
    </w:p>
    <w:p>
      <w:r>
        <w:t>主承销商: --</w:t>
      </w:r>
    </w:p>
    <w:p>
      <w:r>
        <w:t>成立日期: 1966-10-19</w:t>
      </w:r>
    </w:p>
    <w:p>
      <w:r>
        <w:t>上市日期: 1995-11-15</w:t>
      </w:r>
    </w:p>
    <w:p>
      <w:r>
        <w:t>发行市盈率(倍): --</w:t>
      </w:r>
    </w:p>
    <w:p>
      <w:r>
        <w:t>网上发行日期: 1989-09-10</w:t>
      </w:r>
    </w:p>
    <w:p>
      <w:r>
        <w:t>发行方式: 其他发行方式</w:t>
      </w:r>
    </w:p>
    <w:p>
      <w:r>
        <w:t>每股面值(元): 1</w:t>
      </w:r>
    </w:p>
    <w:p>
      <w:r>
        <w:t>发行量(股): 1450万</w:t>
      </w:r>
    </w:p>
    <w:p>
      <w:r>
        <w:t>每股发行价(元): 3.50</w:t>
      </w:r>
    </w:p>
    <w:p>
      <w:r>
        <w:t>发行费用(元): --</w:t>
      </w:r>
    </w:p>
    <w:p>
      <w:r>
        <w:t>发行总市值(元): 5075万</w:t>
      </w:r>
    </w:p>
    <w:p>
      <w:r>
        <w:t>募集资金净额(元): --</w:t>
      </w:r>
    </w:p>
    <w:p>
      <w:r>
        <w:t>首日开盘价(元): 12.98</w:t>
      </w:r>
    </w:p>
    <w:p>
      <w:r>
        <w:t>首日收盘价(元): 12.10</w:t>
      </w:r>
    </w:p>
    <w:p>
      <w:r>
        <w:t>首日换手率: 46.08%</w:t>
      </w:r>
    </w:p>
    <w:p>
      <w:r>
        <w:t>首日最高价(元): 13.52</w:t>
      </w:r>
    </w:p>
    <w:p>
      <w:r>
        <w:t>网下配售中签率: --</w:t>
      </w:r>
    </w:p>
    <w:p>
      <w:r>
        <w:t>定价中签率: 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