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吉峰科技</w:t>
      </w:r>
    </w:p>
    <w:p>
      <w:pPr>
        <w:pStyle w:val="Heading2"/>
      </w:pPr>
      <w:r>
        <w:t>公司基本资料</w:t>
      </w:r>
    </w:p>
    <w:p>
      <w:r>
        <w:t>公司名称: 吉峰三农科技服务股份有限公司</w:t>
      </w:r>
    </w:p>
    <w:p>
      <w:r>
        <w:t>英文名称: Gifore Agricultural Science &amp; Technology Service Co., Ltd.</w:t>
      </w:r>
    </w:p>
    <w:p>
      <w:r>
        <w:t>A股代码: 300022</w:t>
      </w:r>
    </w:p>
    <w:p>
      <w:r>
        <w:t>A股简称: 吉峰科技</w:t>
      </w:r>
    </w:p>
    <w:p>
      <w:r>
        <w:t>A股扩位简称: --</w:t>
      </w:r>
    </w:p>
    <w:p>
      <w:r>
        <w:t>曾用名: 吉峰农机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机械设备-专用设备-农用机械</w:t>
      </w:r>
    </w:p>
    <w:p>
      <w:r>
        <w:t>上市交易所: 深圳证券交易所</w:t>
      </w:r>
    </w:p>
    <w:p>
      <w:r>
        <w:t>所属证监会行业: 批发和零售业-批发业</w:t>
      </w:r>
    </w:p>
    <w:p>
      <w:r>
        <w:t>总经理: 李勇</w:t>
      </w:r>
    </w:p>
    <w:p>
      <w:r>
        <w:t>法人代表: 汪辉君</w:t>
      </w:r>
    </w:p>
    <w:p>
      <w:r>
        <w:t>董秘: 杨元兴</w:t>
      </w:r>
    </w:p>
    <w:p>
      <w:r>
        <w:t>董事长: 黄蕾</w:t>
      </w:r>
    </w:p>
    <w:p>
      <w:r>
        <w:t>证券事务代表: 刘桂岑</w:t>
      </w:r>
    </w:p>
    <w:p>
      <w:r>
        <w:t>独立董事: 杜金岷(Du Jinmin),廖臻,刘水兵</w:t>
      </w:r>
    </w:p>
    <w:p>
      <w:r>
        <w:t>联系电话: 028-67518546,028-87868752</w:t>
      </w:r>
    </w:p>
    <w:p>
      <w:r>
        <w:t>电子信箱: office@gifore.com</w:t>
      </w:r>
    </w:p>
    <w:p>
      <w:r>
        <w:t>传真: 028-67518546</w:t>
      </w:r>
    </w:p>
    <w:p>
      <w:r>
        <w:t>公司网址: www.gifore.com</w:t>
      </w:r>
    </w:p>
    <w:p>
      <w:r>
        <w:t>办公地址: 成都市郫都区成都现代工业港北部园区港通北二路219号</w:t>
      </w:r>
    </w:p>
    <w:p>
      <w:r>
        <w:t>注册地址: 成都市郫都区成都现代工业港北部园区港通北二路219号</w:t>
      </w:r>
    </w:p>
    <w:p>
      <w:r>
        <w:t>区域: 四川</w:t>
      </w:r>
    </w:p>
    <w:p>
      <w:r>
        <w:t>邮政编码: 611743</w:t>
      </w:r>
    </w:p>
    <w:p>
      <w:r>
        <w:t>注册资本(元): 4.942亿</w:t>
      </w:r>
    </w:p>
    <w:p>
      <w:r>
        <w:t>工商登记: 915100002018692710</w:t>
      </w:r>
    </w:p>
    <w:p>
      <w:r>
        <w:t>雇员人数: 1157</w:t>
      </w:r>
    </w:p>
    <w:p>
      <w:r>
        <w:t>管理人员人数: 15</w:t>
      </w:r>
    </w:p>
    <w:p>
      <w:r>
        <w:t>律师事务所: 北京金杜(成都)律师事务所</w:t>
      </w:r>
    </w:p>
    <w:p>
      <w:r>
        <w:t>会计师事务所: 信永中和会计师事务所(特殊普通合伙)</w:t>
      </w:r>
    </w:p>
    <w:p>
      <w:r>
        <w:t>公司简介: 吉峰三农科技服务股份有限公司(以下简称:公司)深耕农机产业领域20余年,是中国规模最大、综合实力最强的农机流通连锁企业和农机流通行业唯一上市公司(证券简称:吉峰科技,股票代码:300022)。公司深度参与中国农业现代化进程,致力于为农业农村发展提供高端特色农业装备产品与服务,形成了“一体两翼”战略布局,即以高端特色制造为主体,旗舰公司吉林康达为中国保护性耕作机械领域生产制造领军企业;左翼为农机流通基石业务,公司通过代理国内外主流农机品牌,在中国20个省(直辖市、自治区)建立了130余家直营门店和2000家乡镇经销加盟服务网点。右翼为农机与三农产业链创新服务,探索发展涉及农业种植加工、畜牧渔业养殖等的现代农事生产综合服务整体解决方案。公司发展始于1998年,于2009年10月30日登陆深交所创业板,2020年8月公司引入新实控人,中国著名民营资本“华西希望”阵营旗下四川特驱教育管理有限公司。公司现为四川省农业产业化经营省级重点龙头企业、中国农业国际交流协会副会长单位、中国农业机械化协会副会长单位、中国农机流通协会副会长单位、中国苹果产业协会副会长单位、中国农机学会常务理事单位、中国连锁经营协会理事单位。</w:t>
      </w:r>
    </w:p>
    <w:p>
      <w:r>
        <w:t>经营范围: 一般项目:技术服务、技术开发、技术咨询、技术交流、技术转让、技术推广;农业机械制造;机械零件、零部件加工;农业机械销售;农、林、牧、副、渔业专业机械的销售;农林牧渔机械配件销售;机械设备销售;橡胶制品销售;汽车销售;汽车零配件零售;摩托车及零配件零售;建筑材料销售;五金产品零售;日用百货销售;农副产品销售;金属材料销售;化工产品销售(不含许可类化工产品);通信设备销售;办公用品销售;计算机软硬件及辅助设备零售;货物进出口;普通货物仓储服务(不含危险化学品等需许可审批的项目);装卸搬运;国内货物运输代理;再生资源回收(除生产性废旧金属);再生资源销售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宏源证券股份有限公司</w:t>
      </w:r>
    </w:p>
    <w:p>
      <w:r>
        <w:t>主承销商: 宏源证券股份有限公司</w:t>
      </w:r>
    </w:p>
    <w:p>
      <w:r>
        <w:t>成立日期: 1994-12-08</w:t>
      </w:r>
    </w:p>
    <w:p>
      <w:r>
        <w:t>上市日期: 2009-10-30</w:t>
      </w:r>
    </w:p>
    <w:p>
      <w:r>
        <w:t>发行市盈率(倍): 57.26</w:t>
      </w:r>
    </w:p>
    <w:p>
      <w:r>
        <w:t>网上发行日期: 2009-10-15</w:t>
      </w:r>
    </w:p>
    <w:p>
      <w:r>
        <w:t>发行方式: 网下询价配售</w:t>
      </w:r>
    </w:p>
    <w:p>
      <w:r>
        <w:t>每股面值(元): 1</w:t>
      </w:r>
    </w:p>
    <w:p>
      <w:r>
        <w:t>发行量(股): 2240万</w:t>
      </w:r>
    </w:p>
    <w:p>
      <w:r>
        <w:t>每股发行价(元): 17.75</w:t>
      </w:r>
    </w:p>
    <w:p>
      <w:r>
        <w:t>发行费用(元): 1720万</w:t>
      </w:r>
    </w:p>
    <w:p>
      <w:r>
        <w:t>发行总市值(元): 3.976亿</w:t>
      </w:r>
    </w:p>
    <w:p>
      <w:r>
        <w:t>募集资金净额(元): 3.804亿</w:t>
      </w:r>
    </w:p>
    <w:p>
      <w:r>
        <w:t>首日开盘价(元): 32.25</w:t>
      </w:r>
    </w:p>
    <w:p>
      <w:r>
        <w:t>首日收盘价(元): 35.31</w:t>
      </w:r>
    </w:p>
    <w:p>
      <w:r>
        <w:t>首日换手率: 90.31%</w:t>
      </w:r>
    </w:p>
    <w:p>
      <w:r>
        <w:t>首日最高价(元): 51.80</w:t>
      </w:r>
    </w:p>
    <w:p>
      <w:r>
        <w:t>网下配售中签率: 1.68%</w:t>
      </w:r>
    </w:p>
    <w:p>
      <w:r>
        <w:t>定价中签率: 0.94%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