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和邦生物</w:t>
      </w:r>
    </w:p>
    <w:p>
      <w:pPr>
        <w:pStyle w:val="Heading2"/>
      </w:pPr>
      <w:r>
        <w:t>公司基本资料</w:t>
      </w:r>
    </w:p>
    <w:p>
      <w:r>
        <w:t>公司名称: 四川和邦生物科技股份有限公司</w:t>
      </w:r>
    </w:p>
    <w:p>
      <w:r>
        <w:t>英文名称: Sichuan Hebang Biotechnology Co.,Ltd.</w:t>
      </w:r>
    </w:p>
    <w:p>
      <w:r>
        <w:t>A股代码: 603077</w:t>
      </w:r>
    </w:p>
    <w:p>
      <w:r>
        <w:t>A股简称: 和邦生物</w:t>
      </w:r>
    </w:p>
    <w:p>
      <w:r>
        <w:t>A股扩位简称: --</w:t>
      </w:r>
    </w:p>
    <w:p>
      <w:r>
        <w:t>曾用名: N和邦→和邦股份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基础化工-化学原料-纯碱</w:t>
      </w:r>
    </w:p>
    <w:p>
      <w:r>
        <w:t>上市交易所: 上海证券交易所</w:t>
      </w:r>
    </w:p>
    <w:p>
      <w:r>
        <w:t>所属证监会行业: 制造业-化学原料和化学制品制造业</w:t>
      </w:r>
    </w:p>
    <w:p>
      <w:r>
        <w:t>总经理: 曾小平</w:t>
      </w:r>
    </w:p>
    <w:p>
      <w:r>
        <w:t>法人代表: 曾小平</w:t>
      </w:r>
    </w:p>
    <w:p>
      <w:r>
        <w:t>董秘: 蒋思颖</w:t>
      </w:r>
    </w:p>
    <w:p>
      <w:r>
        <w:t>董事长: 曾小平</w:t>
      </w:r>
    </w:p>
    <w:p>
      <w:r>
        <w:t>证券事务代表: 袁泉</w:t>
      </w:r>
    </w:p>
    <w:p>
      <w:r>
        <w:t>独立董事: 袁长华,胡杨,宋英</w:t>
      </w:r>
    </w:p>
    <w:p>
      <w:r>
        <w:t>联系电话: 028-62050230</w:t>
      </w:r>
    </w:p>
    <w:p>
      <w:r>
        <w:t>电子信箱: mr@hebang.cn</w:t>
      </w:r>
    </w:p>
    <w:p>
      <w:r>
        <w:t>传真: 028-62050290</w:t>
      </w:r>
    </w:p>
    <w:p>
      <w:r>
        <w:t>公司网址: www.hebang.cn</w:t>
      </w:r>
    </w:p>
    <w:p>
      <w:r>
        <w:t>办公地址: 乐山市五通桥区牛华镇沔坝村</w:t>
      </w:r>
    </w:p>
    <w:p>
      <w:r>
        <w:t>注册地址: 乐山市五通桥区牛华镇沔坝村</w:t>
      </w:r>
    </w:p>
    <w:p>
      <w:r>
        <w:t>区域: 四川</w:t>
      </w:r>
    </w:p>
    <w:p>
      <w:r>
        <w:t>邮政编码: 614801</w:t>
      </w:r>
    </w:p>
    <w:p>
      <w:r>
        <w:t>注册资本(元): 88.31亿</w:t>
      </w:r>
    </w:p>
    <w:p>
      <w:r>
        <w:t>工商登记: 91511100740039656L</w:t>
      </w:r>
    </w:p>
    <w:p>
      <w:r>
        <w:t>雇员人数: 7169</w:t>
      </w:r>
    </w:p>
    <w:p>
      <w:r>
        <w:t>管理人员人数: 13</w:t>
      </w:r>
    </w:p>
    <w:p>
      <w:r>
        <w:t>律师事务所: 北京国枫律师事务所</w:t>
      </w:r>
    </w:p>
    <w:p>
      <w:r>
        <w:t>会计师事务所: 四川华信(集团)会计师事务所(特殊普通合伙)</w:t>
      </w:r>
    </w:p>
    <w:p>
      <w:r>
        <w:t>公司简介: 四川和邦生物科技股份有限公司(公司简称:和邦生物,股票代码:603077)设立于2002年,位于四川省乐山市五通桥区,2012年在上海证券交易所上市。公司自上市以来,依托于自身拥有的9,800万吨储量的盐矿、丰富的磷矿以及西南地区天然气产地的天然气供应优势,借助资本市场助力,实现了高成长性发展。从2012年到2020年,公司先后投建、重组、并购实业项目10个,以平均一年一个新增项目高速发展。公司所涉及的产品,从单一的纯碱、氯化铵业务发展到:纯碱、氯化铵、双甘膦、草甘膦、玻璃、蛋氨酸、生物农药、油气能源供应,当前正积极投资和布局光伏产业,向社会提供光伏清结能源所需的光伏玻璃、光伏组件产品。通过自主创新、引进生产技术和设备,公司多年来持续地进行核心业务升级,成为了一个盐气平台型公司。公司现已经完成了在化工、农业、光伏三大领域的基本布局,形成了化工-联碱;农业-草甘膦、双甘膦、蛋氨酸、生物农药;光伏-玻璃及光伏制品等四大板块业务。1、联碱板块110万吨/年碳酸钠、110万吨/年氯化铵。2、双甘膦(草甘磷)板块15万吨/年双甘磷、5万吨/年草甘膦。3、蛋氨酸板块公司7万吨/年液体蛋氨酸项目已达产达标。4、特种玻璃及光伏制品板块46.5万吨/年玻璃/智能特种玻璃、430万㎡/年Low-E镀膜玻璃;公司投资了重庆8GW光伏封装材料及制品项目与阜兴科技10GWN+型超高效单晶太阳能硅片项目,现项目均按进度在推进。未来,公司仍将不懈努力,行进在高速发展的道路上,更加注重“专业化、专注化”,创造效益,回报投资者。</w:t>
      </w:r>
    </w:p>
    <w:p>
      <w:r>
        <w:t>经营范围: 许可项目:农药生产;农药批发;农药零售;肥料生产;第二、三类监控化学品和第四类监控化学品中含磷、硫、氟的特定有机化学品生产;危险化学品生产;危险化学品经营;危险废物经营;食品添加剂生产;饲料添加剂生产;货物进出口;技术进出口;进出口代理(依法须经批准的项目,经相关部门批准后方可开展经营活动,具体经营项目以相关部门批准文件或许可证件为准)一般项目:食品添加剂销售、肥料销售;化肥销售;化工产品生产(不含许可类化工产品);化工产品销售(不含许可类化工产品);技术服务、技术开发、技术咨询、技术交流、技术转让、技术推广;固体废物治理;非食用盐销售;国内贸易代理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华西证券有限责任公司</w:t>
      </w:r>
    </w:p>
    <w:p>
      <w:r>
        <w:t>主承销商: 华西证券有限责任公司</w:t>
      </w:r>
    </w:p>
    <w:p>
      <w:r>
        <w:t>成立日期: 2002-08-01</w:t>
      </w:r>
    </w:p>
    <w:p>
      <w:r>
        <w:t>上市日期: 2012-07-31</w:t>
      </w:r>
    </w:p>
    <w:p>
      <w:r>
        <w:t>发行市盈率(倍): 21.60</w:t>
      </w:r>
    </w:p>
    <w:p>
      <w:r>
        <w:t>网上发行日期: 2012-07-19</w:t>
      </w:r>
    </w:p>
    <w:p>
      <w:r>
        <w:t>发行方式: 网下询价配售</w:t>
      </w:r>
    </w:p>
    <w:p>
      <w:r>
        <w:t>每股面值(元): 1</w:t>
      </w:r>
    </w:p>
    <w:p>
      <w:r>
        <w:t>发行量(股): 1.000亿</w:t>
      </w:r>
    </w:p>
    <w:p>
      <w:r>
        <w:t>每股发行价(元): 17.50</w:t>
      </w:r>
    </w:p>
    <w:p>
      <w:r>
        <w:t>发行费用(元): 5712万</w:t>
      </w:r>
    </w:p>
    <w:p>
      <w:r>
        <w:t>发行总市值(元): 17.50亿</w:t>
      </w:r>
    </w:p>
    <w:p>
      <w:r>
        <w:t>募集资金净额(元): 16.93亿</w:t>
      </w:r>
    </w:p>
    <w:p>
      <w:r>
        <w:t>首日开盘价(元): 16.00</w:t>
      </w:r>
    </w:p>
    <w:p>
      <w:r>
        <w:t>首日收盘价(元): 16.42</w:t>
      </w:r>
    </w:p>
    <w:p>
      <w:r>
        <w:t>首日换手率: 19.82%</w:t>
      </w:r>
    </w:p>
    <w:p>
      <w:r>
        <w:t>首日最高价(元): 16.77</w:t>
      </w:r>
    </w:p>
    <w:p>
      <w:r>
        <w:t>网下配售中签率: 36.14%</w:t>
      </w:r>
    </w:p>
    <w:p>
      <w:r>
        <w:t>定价中签率: 15.53%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