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四川双马</w:t>
      </w:r>
    </w:p>
    <w:p>
      <w:pPr>
        <w:pStyle w:val="Heading2"/>
      </w:pPr>
      <w:r>
        <w:t>公司基本资料</w:t>
      </w:r>
    </w:p>
    <w:p>
      <w:r>
        <w:t>公司名称: 四川和谐双马股份有限公司</w:t>
      </w:r>
    </w:p>
    <w:p>
      <w:r>
        <w:t>英文名称: SICHUAN HEXIE SHUANGMA CO.,Ltd</w:t>
      </w:r>
    </w:p>
    <w:p>
      <w:r>
        <w:t>A股代码: 000935</w:t>
      </w:r>
    </w:p>
    <w:p>
      <w:r>
        <w:t>A股简称: 四川双马</w:t>
      </w:r>
    </w:p>
    <w:p>
      <w:r>
        <w:t>A股扩位简称: --</w:t>
      </w:r>
    </w:p>
    <w:p>
      <w:r>
        <w:t>曾用名: 四川双马→S川双马→四川双马→*ST双马→ST双马</w:t>
      </w:r>
    </w:p>
    <w:p>
      <w:r>
        <w:t>B股代码: --</w:t>
      </w:r>
    </w:p>
    <w:p>
      <w:r>
        <w:t>B股简称: --</w:t>
      </w:r>
    </w:p>
    <w:p>
      <w:r>
        <w:t>H股代码: --</w:t>
      </w:r>
    </w:p>
    <w:p>
      <w:r>
        <w:t>H股简称: --</w:t>
      </w:r>
    </w:p>
    <w:p>
      <w:r>
        <w:t>证券类别: 深交所主板A股</w:t>
      </w:r>
    </w:p>
    <w:p>
      <w:r>
        <w:t>所属东财行业: 金融-非银行金融-其他非银行金融</w:t>
      </w:r>
    </w:p>
    <w:p>
      <w:r>
        <w:t>上市交易所: 深圳证券交易所</w:t>
      </w:r>
    </w:p>
    <w:p>
      <w:r>
        <w:t>所属证监会行业: 制造业-非金属矿物制品业</w:t>
      </w:r>
    </w:p>
    <w:p>
      <w:r>
        <w:t>总经理: 黄灿文</w:t>
      </w:r>
    </w:p>
    <w:p>
      <w:r>
        <w:t>法人代表: 谢建平</w:t>
      </w:r>
    </w:p>
    <w:p>
      <w:r>
        <w:t>董秘: 陈长春</w:t>
      </w:r>
    </w:p>
    <w:p>
      <w:r>
        <w:t>董事长: 谢建平</w:t>
      </w:r>
    </w:p>
    <w:p>
      <w:r>
        <w:t>证券事务代表: 景晶</w:t>
      </w:r>
    </w:p>
    <w:p>
      <w:r>
        <w:t>独立董事: 姚立杰,周立,许劲生</w:t>
      </w:r>
    </w:p>
    <w:p>
      <w:r>
        <w:t>联系电话: 028-63231548</w:t>
      </w:r>
    </w:p>
    <w:p>
      <w:r>
        <w:t>电子信箱: public.sm@sc-shuangma.com</w:t>
      </w:r>
    </w:p>
    <w:p>
      <w:r>
        <w:t>传真: 028-63231549</w:t>
      </w:r>
    </w:p>
    <w:p>
      <w:r>
        <w:t>公司网址: www.sc-shuangma.com</w:t>
      </w:r>
    </w:p>
    <w:p>
      <w:r>
        <w:t>办公地址: 四川省成都市锦江区红星路三段一号成都国际金融中心1号写字楼26楼2号</w:t>
      </w:r>
    </w:p>
    <w:p>
      <w:r>
        <w:t>注册地址: 四川省江油市二郎庙镇</w:t>
      </w:r>
    </w:p>
    <w:p>
      <w:r>
        <w:t>区域: 四川</w:t>
      </w:r>
    </w:p>
    <w:p>
      <w:r>
        <w:t>邮政编码: 610021</w:t>
      </w:r>
    </w:p>
    <w:p>
      <w:r>
        <w:t>注册资本(元): 7.634亿</w:t>
      </w:r>
    </w:p>
    <w:p>
      <w:r>
        <w:t>工商登记: 91510000709159078T</w:t>
      </w:r>
    </w:p>
    <w:p>
      <w:r>
        <w:t>雇员人数: 397</w:t>
      </w:r>
    </w:p>
    <w:p>
      <w:r>
        <w:t>管理人员人数: 13</w:t>
      </w:r>
    </w:p>
    <w:p>
      <w:r>
        <w:t>律师事务所: 北京国枫(成都)律师事务所</w:t>
      </w:r>
    </w:p>
    <w:p>
      <w:r>
        <w:t>会计师事务所: 德勤华永会计师事务所(特殊普通合伙)</w:t>
      </w:r>
    </w:p>
    <w:p>
      <w:r>
        <w:t>公司简介: 四川和谐双马股份有限公司作为一家从事产业投资和私募股权投资基金管理的上市公司,目前主要管理的资产包括建材生产制造企业及私募股权投资基金管理公司。公司建材生产制造企业业务包括水泥产品以及建筑骨料的生产与销售。建材板块作为公司现阶段的优质资产,生产经营稳定,盈利能力强,现金流良好。经过近年的调整,公司当前建材生产基地集中在宜宾市,宜宾市区位优势明显,为公司建材生产业务发展提供了保障。公司建材生产制造业务中,水泥年产能200余万吨,骨料生产线年产能500余万吨。公司股权投资基金管理公司目前在管基金规模超220亿元,主要利用市场化的股权投资管理运营模式,发现、投资、培育和赋能优质资产。私募股权投资基金管理公司管理的河南省和谐锦豫产业投资基金(有限合伙)的投资方向包括但不限于互联网、泛文化、先进制造、跨境电商物流等;义乌和谐锦弘股权投资合伙企业(有限合伙)的投资方向重点关注先进制造与新能源行业,包括LED太阳能、芯片设计制造、消费电子、智能装备、工业自动化、新能源汽车、无人驾驶、半导体设备等;和谐绿色产业基金的投资方向重点关注智能制造、半导体、清洁能源及技术、消费和服务等上下游领域。</w:t>
      </w:r>
    </w:p>
    <w:p>
      <w:r>
        <w:t>经营范围: 一般项目:企业总部管理;技术服务、技术开发、技术咨询、技术交流、技术转让、技术推广;大数据服务;人工智能应用软件开发;智能控制系统集成;建筑材料销售(除依法须经批准的项目外,凭营业执照依法自主开展经营活动)。(涉及国家规定实施准入特别管理措施的除外)</w:t>
      </w:r>
    </w:p>
    <w:p>
      <w:pPr>
        <w:pStyle w:val="Heading2"/>
      </w:pPr>
      <w:r>
        <w:t>发行相关信息</w:t>
      </w:r>
    </w:p>
    <w:p>
      <w:r>
        <w:t>保荐机构: 华夏证券有限公司,大鹏证券有限责任公司</w:t>
      </w:r>
    </w:p>
    <w:p>
      <w:r>
        <w:t>主承销商: 大鹏证券有限责任公司</w:t>
      </w:r>
    </w:p>
    <w:p>
      <w:r>
        <w:t>成立日期: 1998-10-20</w:t>
      </w:r>
    </w:p>
    <w:p>
      <w:r>
        <w:t>上市日期: 1999-08-24</w:t>
      </w:r>
    </w:p>
    <w:p>
      <w:r>
        <w:t>发行市盈率(倍): 15.77</w:t>
      </w:r>
    </w:p>
    <w:p>
      <w:r>
        <w:t>网上发行日期: 1999-07-12</w:t>
      </w:r>
    </w:p>
    <w:p>
      <w:r>
        <w:t>发行方式: 网下定价发行</w:t>
      </w:r>
    </w:p>
    <w:p>
      <w:r>
        <w:t>每股面值(元): 1</w:t>
      </w:r>
    </w:p>
    <w:p>
      <w:r>
        <w:t>发行量(股): 5800万</w:t>
      </w:r>
    </w:p>
    <w:p>
      <w:r>
        <w:t>每股发行价(元): 4.50</w:t>
      </w:r>
    </w:p>
    <w:p>
      <w:r>
        <w:t>发行费用(元): 999.1万</w:t>
      </w:r>
    </w:p>
    <w:p>
      <w:r>
        <w:t>发行总市值(元): 2.610亿</w:t>
      </w:r>
    </w:p>
    <w:p>
      <w:r>
        <w:t>募集资金净额(元): 2.510亿</w:t>
      </w:r>
    </w:p>
    <w:p>
      <w:r>
        <w:t>首日开盘价(元): 9.43</w:t>
      </w:r>
    </w:p>
    <w:p>
      <w:r>
        <w:t>首日收盘价(元): 9.28</w:t>
      </w:r>
    </w:p>
    <w:p>
      <w:r>
        <w:t>首日换手率: 68.20%</w:t>
      </w:r>
    </w:p>
    <w:p>
      <w:r>
        <w:t>首日最高价(元): 9.78</w:t>
      </w:r>
    </w:p>
    <w:p>
      <w:r>
        <w:t>网下配售中签率: --</w:t>
      </w:r>
    </w:p>
    <w:p>
      <w:r>
        <w:t>定价中签率: 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