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四川路桥</w:t>
      </w:r>
    </w:p>
    <w:p>
      <w:pPr>
        <w:pStyle w:val="Heading2"/>
      </w:pPr>
      <w:r>
        <w:t>公司基本资料</w:t>
      </w:r>
    </w:p>
    <w:p>
      <w:r>
        <w:t>公司名称: 四川路桥建设集团股份有限公司</w:t>
      </w:r>
    </w:p>
    <w:p>
      <w:r>
        <w:t>英文名称: Sichuan Road &amp; Bridge Group Co.,Ltd.</w:t>
      </w:r>
    </w:p>
    <w:p>
      <w:r>
        <w:t>A股代码: 600039</w:t>
      </w:r>
    </w:p>
    <w:p>
      <w:r>
        <w:t>A股简称: 四川路桥</w:t>
      </w:r>
    </w:p>
    <w:p>
      <w:r>
        <w:t>A股扩位简称: --</w:t>
      </w:r>
    </w:p>
    <w:p>
      <w:r>
        <w:t>曾用名: 四川路桥→S川路桥</w:t>
      </w:r>
    </w:p>
    <w:p>
      <w:r>
        <w:t>B股代码: --</w:t>
      </w:r>
    </w:p>
    <w:p>
      <w:r>
        <w:t>B股简称: --</w:t>
      </w:r>
    </w:p>
    <w:p>
      <w:r>
        <w:t>H股代码: --</w:t>
      </w:r>
    </w:p>
    <w:p>
      <w:r>
        <w:t>H股简称: --</w:t>
      </w:r>
    </w:p>
    <w:p>
      <w:r>
        <w:t>证券类别: 上交所主板A股</w:t>
      </w:r>
    </w:p>
    <w:p>
      <w:r>
        <w:t>所属东财行业: 建筑-建筑施工-专业工程</w:t>
      </w:r>
    </w:p>
    <w:p>
      <w:r>
        <w:t>上市交易所: 上海证券交易所</w:t>
      </w:r>
    </w:p>
    <w:p>
      <w:r>
        <w:t>所属证监会行业: 建筑业-土木工程建筑业</w:t>
      </w:r>
    </w:p>
    <w:p>
      <w:r>
        <w:t>总经理: 羊勇</w:t>
      </w:r>
    </w:p>
    <w:p>
      <w:r>
        <w:t>法人代表: 孙立成</w:t>
      </w:r>
    </w:p>
    <w:p>
      <w:r>
        <w:t>董秘: 王雪岭</w:t>
      </w:r>
    </w:p>
    <w:p>
      <w:r>
        <w:t>董事长: 孙立成</w:t>
      </w:r>
    </w:p>
    <w:p>
      <w:r>
        <w:t>证券事务代表: 朱霞</w:t>
      </w:r>
    </w:p>
    <w:p>
      <w:r>
        <w:t>独立董事: 赵泽松,周友苏,曹麒麟,李光金</w:t>
      </w:r>
    </w:p>
    <w:p>
      <w:r>
        <w:t>联系电话: 028-85126085</w:t>
      </w:r>
    </w:p>
    <w:p>
      <w:r>
        <w:t>电子信箱: srbcdsh@163.com</w:t>
      </w:r>
    </w:p>
    <w:p>
      <w:r>
        <w:t>传真: 028-85126084</w:t>
      </w:r>
    </w:p>
    <w:p>
      <w:r>
        <w:t>公司网址: www.scrbc.com.cn</w:t>
      </w:r>
    </w:p>
    <w:p>
      <w:r>
        <w:t>办公地址: 四川省成都市高新区九兴大道12号</w:t>
      </w:r>
    </w:p>
    <w:p>
      <w:r>
        <w:t>注册地址: 四川省成都市高新区高朋大道11号科技工业园F-59号</w:t>
      </w:r>
    </w:p>
    <w:p>
      <w:r>
        <w:t>区域: 四川</w:t>
      </w:r>
    </w:p>
    <w:p>
      <w:r>
        <w:t>邮政编码: 610041</w:t>
      </w:r>
    </w:p>
    <w:p>
      <w:r>
        <w:t>注册资本(元): 87.12亿</w:t>
      </w:r>
    </w:p>
    <w:p>
      <w:r>
        <w:t>工商登记: 915100007118906956</w:t>
      </w:r>
    </w:p>
    <w:p>
      <w:r>
        <w:t>雇员人数: 18198</w:t>
      </w:r>
    </w:p>
    <w:p>
      <w:r>
        <w:t>管理人员人数: 22</w:t>
      </w:r>
    </w:p>
    <w:p>
      <w:r>
        <w:t>律师事务所: 北京康达(成都)律师事务所</w:t>
      </w:r>
    </w:p>
    <w:p>
      <w:r>
        <w:t>会计师事务所: 信永中和会计师事务所(特殊普通合伙)</w:t>
      </w:r>
    </w:p>
    <w:p>
      <w:r>
        <w:t>公司简介: 四川路桥建设集团股份有限公司起源于上世纪50年代修建川藏公路的18军筑路工程队及西南公路局桥工处,是“两路”精神的重要缔造者。经过几代路桥人的接续奋斗,公司已从单纯的施工企业发展成为具有国际竞争力的大型工程综合运营商,主营业务涵盖工程建设、矿业及新材料、清洁能源等产业的投资、开发、建设和运营,市场范围遍及全国29个省市自治区和20余个海外国家及地区。近年来,公司建设了以土耳其1915恰纳卡莱大桥、浙江舟山西堠门大桥、挪威哈罗格兰德大桥、雅康高速泸定大渡河大桥、巴陕高速米仓山隧道为代表的一系列品牌工程,形成了以深水大跨径及高山峡谷桥梁、复杂地质长大隧道、高速公路路面施工为代表的核心竞争力,屡获国际古斯塔夫·林德撒尔奖、菲迪克奖,国家科技进步奖、鲁班奖、詹天佑奖、李春奖等重量级奖项,所属公司——四川公路桥梁建设集团有限公司连续入围ENR国际承包商250强,是中国重要的对外工程投资承包商之一。公司大力抢抓“双碳”战略机遇,围绕新能源产业积极布局战略性矿产资源,开展锂电材料生产以及清洁能源开发业务,以产业的绿色低碳转型为抓手,打造企业可持续高质量发展的全新增长极。新时期,公司将牢记“产业报国、发展交通、造福人民”的初心使命,树立新发展理念,融入新发展格局,以改革创新为动力,以数字化、智能化、绿色低碳化为引领,全面加快转型发展、创新发展、高质量发展,为持续擦亮四川路桥的“金字招牌”,建设具有全球竞争力的世界一流工程综合运营商而努力奋斗。</w:t>
      </w:r>
    </w:p>
    <w:p>
      <w:r>
        <w:t>经营范围: 以下范围不含前置许可项目,后置许可项目凭许可证或审批文件经营)以自有资金从事投资活动;公路管理与养护;建设工程施工;各类工程建设活动;砼结构构件制造;砼结构构件销售;建设工程勘察;建设工程设计;测绘服务;规划设计管理;工程管理服务;建筑工程机械与设备租赁;专用设备修理;物业管理。许可项目:建设工程监理;检验检测服务;建设工程质量检测;建筑智能化工程施工;建筑智能施工;建筑智能化系统设计;第二类增值电信业务(依法须经批准的项目,经相关部门批准后方可开展经营活动)。</w:t>
      </w:r>
    </w:p>
    <w:p>
      <w:pPr>
        <w:pStyle w:val="Heading2"/>
      </w:pPr>
      <w:r>
        <w:t>发行相关信息</w:t>
      </w:r>
    </w:p>
    <w:p>
      <w:r>
        <w:t>保荐机构: 华夏证券股份有限公司,平安证券有限责任公司</w:t>
      </w:r>
    </w:p>
    <w:p>
      <w:r>
        <w:t>主承销商: 华夏证券有限责任公司</w:t>
      </w:r>
    </w:p>
    <w:p>
      <w:r>
        <w:t>成立日期: 1999-12-28</w:t>
      </w:r>
    </w:p>
    <w:p>
      <w:r>
        <w:t>上市日期: 2003-03-25</w:t>
      </w:r>
    </w:p>
    <w:p>
      <w:r>
        <w:t>发行市盈率(倍): 14.93</w:t>
      </w:r>
    </w:p>
    <w:p>
      <w:r>
        <w:t>网上发行日期: 2003-03-10</w:t>
      </w:r>
    </w:p>
    <w:p>
      <w:r>
        <w:t>发行方式: 定向配售</w:t>
      </w:r>
    </w:p>
    <w:p>
      <w:r>
        <w:t>每股面值(元): 1</w:t>
      </w:r>
    </w:p>
    <w:p>
      <w:r>
        <w:t>发行量(股): 1.000亿</w:t>
      </w:r>
    </w:p>
    <w:p>
      <w:r>
        <w:t>每股发行价(元): 6.87</w:t>
      </w:r>
    </w:p>
    <w:p>
      <w:r>
        <w:t>发行费用(元): 2900万</w:t>
      </w:r>
    </w:p>
    <w:p>
      <w:r>
        <w:t>发行总市值(元): 6.870亿</w:t>
      </w:r>
    </w:p>
    <w:p>
      <w:r>
        <w:t>募集资金净额(元): 6.580亿</w:t>
      </w:r>
    </w:p>
    <w:p>
      <w:r>
        <w:t>首日开盘价(元): 8.98</w:t>
      </w:r>
    </w:p>
    <w:p>
      <w:r>
        <w:t>首日收盘价(元): 9.07</w:t>
      </w:r>
    </w:p>
    <w:p>
      <w:r>
        <w:t>首日换手率: 47.15%</w:t>
      </w:r>
    </w:p>
    <w:p>
      <w:r>
        <w:t>首日最高价(元): 9.30</w:t>
      </w:r>
    </w:p>
    <w:p>
      <w:r>
        <w:t>网下配售中签率: --</w:t>
      </w:r>
    </w:p>
    <w:p>
      <w:r>
        <w:t>定价中签率: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