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国光股份</w:t>
      </w:r>
    </w:p>
    <w:p>
      <w:pPr>
        <w:pStyle w:val="Heading2"/>
      </w:pPr>
      <w:r>
        <w:t>公司基本资料</w:t>
      </w:r>
    </w:p>
    <w:p>
      <w:r>
        <w:t>公司名称: 四川国光农化股份有限公司</w:t>
      </w:r>
    </w:p>
    <w:p>
      <w:r>
        <w:t>英文名称: Sichuan Guoguang Agrochemical Co.,Ltd.</w:t>
      </w:r>
    </w:p>
    <w:p>
      <w:r>
        <w:t>A股代码: 002749</w:t>
      </w:r>
    </w:p>
    <w:p>
      <w:r>
        <w:t>A股简称: 国光股份</w:t>
      </w:r>
    </w:p>
    <w:p>
      <w:r>
        <w:t>A股扩位简称: --</w:t>
      </w:r>
    </w:p>
    <w:p>
      <w:r>
        <w:t>曾用名: N国光</w:t>
      </w:r>
    </w:p>
    <w:p>
      <w:r>
        <w:t>B股代码: --</w:t>
      </w:r>
    </w:p>
    <w:p>
      <w:r>
        <w:t>B股简称: --</w:t>
      </w:r>
    </w:p>
    <w:p>
      <w:r>
        <w:t>H股代码: --</w:t>
      </w:r>
    </w:p>
    <w:p>
      <w:r>
        <w:t>H股简称: --</w:t>
      </w:r>
    </w:p>
    <w:p>
      <w:r>
        <w:t>证券类别: 深交所主板A股</w:t>
      </w:r>
    </w:p>
    <w:p>
      <w:r>
        <w:t>所属东财行业: 基础化工-化肥农药-农药</w:t>
      </w:r>
    </w:p>
    <w:p>
      <w:r>
        <w:t>上市交易所: 深圳证券交易所</w:t>
      </w:r>
    </w:p>
    <w:p>
      <w:r>
        <w:t>所属证监会行业: 制造业-化学原料和化学制品制造业</w:t>
      </w:r>
    </w:p>
    <w:p>
      <w:r>
        <w:t>总经理: 何颉</w:t>
      </w:r>
    </w:p>
    <w:p>
      <w:r>
        <w:t>法人代表: 何颉</w:t>
      </w:r>
    </w:p>
    <w:p>
      <w:r>
        <w:t>董秘: 颜铭</w:t>
      </w:r>
    </w:p>
    <w:p>
      <w:r>
        <w:t>董事长: 何颉</w:t>
      </w:r>
    </w:p>
    <w:p>
      <w:r>
        <w:t>证券事务代表: 李超</w:t>
      </w:r>
    </w:p>
    <w:p>
      <w:r>
        <w:t>独立董事: 刘云平,花荣军,毕超</w:t>
      </w:r>
    </w:p>
    <w:p>
      <w:r>
        <w:t>联系电话: 028-66848862</w:t>
      </w:r>
    </w:p>
    <w:p>
      <w:r>
        <w:t>电子信箱: dsh@scggic.com</w:t>
      </w:r>
    </w:p>
    <w:p>
      <w:r>
        <w:t>传真: 028-66848862</w:t>
      </w:r>
    </w:p>
    <w:p>
      <w:r>
        <w:t>公司网址: www.scggic.com</w:t>
      </w:r>
    </w:p>
    <w:p>
      <w:r>
        <w:t>办公地址: 四川省成都市龙泉驿区北京路899号</w:t>
      </w:r>
    </w:p>
    <w:p>
      <w:r>
        <w:t>注册地址: 四川省成都市简阳市平泉街道</w:t>
      </w:r>
    </w:p>
    <w:p>
      <w:r>
        <w:t>区域: 四川</w:t>
      </w:r>
    </w:p>
    <w:p>
      <w:r>
        <w:t>邮政编码: 610100</w:t>
      </w:r>
    </w:p>
    <w:p>
      <w:r>
        <w:t>注册资本(元): 4.683亿</w:t>
      </w:r>
    </w:p>
    <w:p>
      <w:r>
        <w:t>工商登记: 91512000206861148T</w:t>
      </w:r>
    </w:p>
    <w:p>
      <w:r>
        <w:t>雇员人数: 1998</w:t>
      </w:r>
    </w:p>
    <w:p>
      <w:r>
        <w:t>管理人员人数: 14</w:t>
      </w:r>
    </w:p>
    <w:p>
      <w:r>
        <w:t>律师事务所: 北京市康达律师事务所</w:t>
      </w:r>
    </w:p>
    <w:p>
      <w:r>
        <w:t>会计师事务所: 四川华信(集团)会计师事务所(特殊普通合伙)</w:t>
      </w:r>
    </w:p>
    <w:p>
      <w:r>
        <w:t>公司简介: 四川国光农化股份有限公司是深圳证券交易所主板上市企业(证券代码002749),成立于1984年,专业从事植物生长调节剂和高效水溶性肥料的研发、生产和销售。公司以“助种植者和员工实现愿望”为企业使命,坚持“做质量、做诚信、做品牌、做特色、做服务、做百年”的经营理念,产品广泛应用于农业种植、园林养护、园艺生产、林业植保等领域。公司通过了国际质量管理体系、环境管理体系、职业健康与安全管理体系认证,是中国农药百强企业、国家知识产权优势培育企业、四川省诚信建设先进单位、四川百强企业、中国农药发展与应用协会第三届理事单位、中国农药工业协会第十届理事会理事单位、中国农药发展与应用协会植物生长调节剂专业委员会副主任单位,公司子公司四川润尔科技有限公司和鹤壁全丰生物科技有限公司是高新技术企业、省级企业技术中心、专精特新企业。公司拥有农药原药和制剂登记证311个(其中植物生长调节剂登记证133个)、肥料登记证118个、专利230件(其中发明专利94件)、科技成果7项、注册商标1880件(其中,驰名商标1件)。公司下属的四川国光农资有限公司、四川国光园林科技有限公司、四川润尔科技有限公司、重庆依尔双丰科技有限公司、山西浩之大生物科技有限公司、鹤壁全丰生物科技有限公司、四川芸领农业技术服务有限公司、成都国光现代农业职业技能培训学校有限公司等十五家公司分布于四川省、山西省、河南省、海南省、重庆市等省(直辖市),并在全国设有二十五个物流仓储服务中心。公司聚焦调节剂、水溶性肥料、园林养护品等优势品类,坚持突出技术服务的核心作用,产品在配合绿色防控、提质减量、抗灾减害、减少人工、配合机械化等方面起着重要作用,“国光”“双丰”“浩之大”“国光园林”“鹤壁全丰”品牌影响力持续扩大。“走诚信路、做百年厂”的国光,将持续提升“国光产品好,用户都知道”的品牌形象。以“把质量和品牌建立在用户心中”为目标,依靠严格科学的管理方法、领先的生产技术、先进的检测手段、完善的市场服务网络,不断用高新技术产品和先进技术服务于农业种植业和园林生态环境建设。</w:t>
      </w:r>
    </w:p>
    <w:p>
      <w:r>
        <w:t>经营范围: 生产、销售:植物生长调节剂、园林绿化养护品、农药、防腐保鲜剂、肥料、化工产品、日化产品、塑料制品、机械设备;包装装璜印刷;农化产品应用技术研究,农业、园林、林业技术咨询、技术服务、技术推广;会议服务;国家允许该企业经营的进出口业务。</w:t>
      </w:r>
    </w:p>
    <w:p>
      <w:pPr>
        <w:pStyle w:val="Heading2"/>
      </w:pPr>
      <w:r>
        <w:t>发行相关信息</w:t>
      </w:r>
    </w:p>
    <w:p>
      <w:r>
        <w:t>保荐机构: 国都证券有限责任公司</w:t>
      </w:r>
    </w:p>
    <w:p>
      <w:r>
        <w:t>主承销商: 国都证券有限责任公司</w:t>
      </w:r>
    </w:p>
    <w:p>
      <w:r>
        <w:t>成立日期: 1985-12-30</w:t>
      </w:r>
    </w:p>
    <w:p>
      <w:r>
        <w:t>上市日期: 2015-03-20</w:t>
      </w:r>
    </w:p>
    <w:p>
      <w:r>
        <w:t>发行市盈率(倍): 16.47</w:t>
      </w:r>
    </w:p>
    <w:p>
      <w:r>
        <w:t>网上发行日期: 2015-03-12</w:t>
      </w:r>
    </w:p>
    <w:p>
      <w:r>
        <w:t>发行方式: 网上定价发行,网下询价配售,市值申购</w:t>
      </w:r>
    </w:p>
    <w:p>
      <w:r>
        <w:t>每股面值(元): 1</w:t>
      </w:r>
    </w:p>
    <w:p>
      <w:r>
        <w:t>发行量(股): 1875万</w:t>
      </w:r>
    </w:p>
    <w:p>
      <w:r>
        <w:t>每股发行价(元): 26.92</w:t>
      </w:r>
    </w:p>
    <w:p>
      <w:r>
        <w:t>发行费用(元): 5888万</w:t>
      </w:r>
    </w:p>
    <w:p>
      <w:r>
        <w:t>发行总市值(元): 5.048亿</w:t>
      </w:r>
    </w:p>
    <w:p>
      <w:r>
        <w:t>募集资金净额(元): 3.449亿</w:t>
      </w:r>
    </w:p>
    <w:p>
      <w:r>
        <w:t>首日开盘价(元): 35.53</w:t>
      </w:r>
    </w:p>
    <w:p>
      <w:r>
        <w:t>首日收盘价(元): 38.76</w:t>
      </w:r>
    </w:p>
    <w:p>
      <w:r>
        <w:t>首日换手率: 0.15%</w:t>
      </w:r>
    </w:p>
    <w:p>
      <w:r>
        <w:t>首日最高价(元): 38.76</w:t>
      </w:r>
    </w:p>
    <w:p>
      <w:r>
        <w:t>网下配售中签率: 2.12%</w:t>
      </w:r>
    </w:p>
    <w:p>
      <w:r>
        <w:t>定价中签率: 0.69%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