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宜宾纸业</w:t>
      </w:r>
    </w:p>
    <w:p>
      <w:pPr>
        <w:pStyle w:val="Heading2"/>
      </w:pPr>
      <w:r>
        <w:t>公司基本资料</w:t>
      </w:r>
    </w:p>
    <w:p>
      <w:r>
        <w:t>公司名称: 宜宾纸业股份有限公司</w:t>
      </w:r>
    </w:p>
    <w:p>
      <w:r>
        <w:t>英文名称: YibinpaperindustryCO.,LTD</w:t>
      </w:r>
    </w:p>
    <w:p>
      <w:r>
        <w:t>A股代码: 600793</w:t>
      </w:r>
    </w:p>
    <w:p>
      <w:r>
        <w:t>A股简称: 宜宾纸业</w:t>
      </w:r>
    </w:p>
    <w:p>
      <w:r>
        <w:t>A股扩位简称: --</w:t>
      </w:r>
    </w:p>
    <w:p>
      <w:r>
        <w:t>曾用名: 宜宾纸业→ST宜纸→宜宾纸业→G宜纸→宜宾纸业→*ST宜纸→ST宜纸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轻工制造-造纸印刷-造纸</w:t>
      </w:r>
    </w:p>
    <w:p>
      <w:r>
        <w:t>上市交易所: 上海证券交易所</w:t>
      </w:r>
    </w:p>
    <w:p>
      <w:r>
        <w:t>所属证监会行业: 制造业-造纸和纸制品业</w:t>
      </w:r>
    </w:p>
    <w:p>
      <w:r>
        <w:t>总经理: 吕延智</w:t>
      </w:r>
    </w:p>
    <w:p>
      <w:r>
        <w:t>法人代表: 李剑伟</w:t>
      </w:r>
    </w:p>
    <w:p>
      <w:r>
        <w:t>董秘: 幸志敏</w:t>
      </w:r>
    </w:p>
    <w:p>
      <w:r>
        <w:t>董事长: 李剑伟</w:t>
      </w:r>
    </w:p>
    <w:p>
      <w:r>
        <w:t>证券事务代表: 陈禹昊</w:t>
      </w:r>
    </w:p>
    <w:p>
      <w:r>
        <w:t>独立董事: 邹燕,李宇轩,周在峰</w:t>
      </w:r>
    </w:p>
    <w:p>
      <w:r>
        <w:t>联系电话: 0831-3309399,0831-3309377,0831-3309690</w:t>
      </w:r>
    </w:p>
    <w:p>
      <w:r>
        <w:t>电子信箱: ybzydsh@163.com</w:t>
      </w:r>
    </w:p>
    <w:p>
      <w:r>
        <w:t>传真: 0831-3309600</w:t>
      </w:r>
    </w:p>
    <w:p>
      <w:r>
        <w:t>公司网址: www.yb-zy.com</w:t>
      </w:r>
    </w:p>
    <w:p>
      <w:r>
        <w:t>办公地址: 四川省宜宾市南溪区裴石轻工业园区</w:t>
      </w:r>
    </w:p>
    <w:p>
      <w:r>
        <w:t>注册地址: 四川省宜宾市南溪区裴石轻工业园区</w:t>
      </w:r>
    </w:p>
    <w:p>
      <w:r>
        <w:t>区域: 四川</w:t>
      </w:r>
    </w:p>
    <w:p>
      <w:r>
        <w:t>邮政编码: 644100</w:t>
      </w:r>
    </w:p>
    <w:p>
      <w:r>
        <w:t>注册资本(元): 1.769亿</w:t>
      </w:r>
    </w:p>
    <w:p>
      <w:r>
        <w:t>工商登记: 915115002088509874</w:t>
      </w:r>
    </w:p>
    <w:p>
      <w:r>
        <w:t>雇员人数: 1082</w:t>
      </w:r>
    </w:p>
    <w:p>
      <w:r>
        <w:t>管理人员人数: 19</w:t>
      </w:r>
    </w:p>
    <w:p>
      <w:r>
        <w:t>律师事务所: 北京市天元(成都)律师事务所</w:t>
      </w:r>
    </w:p>
    <w:p>
      <w:r>
        <w:t>会计师事务所: 众华会计师事务所(特殊普通合伙)</w:t>
      </w:r>
    </w:p>
    <w:p>
      <w:r>
        <w:t>公司简介: 宜宾纸业股份有限公司(以下简称“宜宾纸业”)前身为“中国纸厂”,始建于1944年。1997年宜宾纸业在上交所成功上市(股票代码:600793)。2018年1月8日,五粮液集团公司成为宜宾纸业的控股股东。2012年9月,宜宾纸业开始实施整体搬迁,新区位于宜宾市南溪区裴石轻工业园区,占地面积约1000亩。新区一期项目浆纸总产能为55万吨/年。公司主要产品:食品包装原纸、生活用纸原纸、生活用纸成品纸、本色纸杯。宜宾纸业通过整体搬迁顺利实现了“原料转型、产品转型、技术进步、规模提升、环保领先”的转型升级目标。近年来,宜宾纸业充分依托宜宾本地丰富的竹资源优势,大力实施“竹浆纸及深加工一体化”发展战略,形成了以竹林基地建设、竹片加工、制浆造纸、终端制造、产品营销为一体的全产业链经营发展模式,最大程度地把本地的竹资源优势转化成公司的成本优势和竞争优势,实现了企业增效、农民增收、经济发展、环境友好的多赢局面。公司先后被评为“省级林业化产业龙头企业”、“农业产业化省级重点龙头企业”、“国家林业重点龙头企业”,并参与《品牌评价原则与基础》国家标准的起草工作,成为首批“品牌评价国际/国家标准应用示范单位”。</w:t>
      </w:r>
    </w:p>
    <w:p>
      <w:r>
        <w:t>经营范围: 纸制造、纸制品制造、树木种植经营、建筑材料销售、制浆和造纸专用设备制造、新材料技术推广服务、五金产品零售、电气设备销售、仪器仪表销售、日用百货销售、汽车零配件批发、国内货物运输代理、道路货物运输(不含危险货物)、电气设备修理、专用设备修理、通用设备修理、普通机械设备安装服务、货物进出口、食品销售(仅销售预包装食品)、个人卫生用品销售。</w:t>
      </w:r>
    </w:p>
    <w:p>
      <w:pPr>
        <w:pStyle w:val="Heading2"/>
      </w:pPr>
      <w:r>
        <w:t>发行相关信息</w:t>
      </w:r>
    </w:p>
    <w:p>
      <w:r>
        <w:t>保荐机构: 南方证券有限公司</w:t>
      </w:r>
    </w:p>
    <w:p>
      <w:r>
        <w:t>主承销商: --</w:t>
      </w:r>
    </w:p>
    <w:p>
      <w:r>
        <w:t>成立日期: 1996-08-22</w:t>
      </w:r>
    </w:p>
    <w:p>
      <w:r>
        <w:t>上市日期: 1997-02-20</w:t>
      </w:r>
    </w:p>
    <w:p>
      <w:r>
        <w:t>发行市盈率(倍): --</w:t>
      </w:r>
    </w:p>
    <w:p>
      <w:r>
        <w:t>网上发行日期: 1988-12-07</w:t>
      </w:r>
    </w:p>
    <w:p>
      <w:r>
        <w:t>发行方式: 其他发行方式</w:t>
      </w:r>
    </w:p>
    <w:p>
      <w:r>
        <w:t>每股面值(元): 1</w:t>
      </w:r>
    </w:p>
    <w:p>
      <w:r>
        <w:t>发行量(股): 2580万</w:t>
      </w:r>
    </w:p>
    <w:p>
      <w:r>
        <w:t>每股发行价(元): 1.00</w:t>
      </w:r>
    </w:p>
    <w:p>
      <w:r>
        <w:t>发行费用(元): --</w:t>
      </w:r>
    </w:p>
    <w:p>
      <w:r>
        <w:t>发行总市值(元): 2580万</w:t>
      </w:r>
    </w:p>
    <w:p>
      <w:r>
        <w:t>募集资金净额(元): --</w:t>
      </w:r>
    </w:p>
    <w:p>
      <w:r>
        <w:t>首日开盘价(元): 10.88</w:t>
      </w:r>
    </w:p>
    <w:p>
      <w:r>
        <w:t>首日收盘价(元): 14.18</w:t>
      </w:r>
    </w:p>
    <w:p>
      <w:r>
        <w:t>首日换手率: 40.42%</w:t>
      </w:r>
    </w:p>
    <w:p>
      <w:r>
        <w:t>首日最高价(元): 15.60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