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富临运业</w:t>
      </w:r>
    </w:p>
    <w:p>
      <w:pPr>
        <w:pStyle w:val="Heading2"/>
      </w:pPr>
      <w:r>
        <w:t>公司基本资料</w:t>
      </w:r>
    </w:p>
    <w:p>
      <w:r>
        <w:t>公司名称: 四川富临运业集团股份有限公司</w:t>
      </w:r>
    </w:p>
    <w:p>
      <w:r>
        <w:t>英文名称: Sichuan Fulin Transportation Group Co.,Ltd.</w:t>
      </w:r>
    </w:p>
    <w:p>
      <w:r>
        <w:t>A股代码: 002357</w:t>
      </w:r>
    </w:p>
    <w:p>
      <w:r>
        <w:t>A股简称: 富临运业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交通运输-公路铁路-公交</w:t>
      </w:r>
    </w:p>
    <w:p>
      <w:r>
        <w:t>上市交易所: 深圳证券交易所</w:t>
      </w:r>
    </w:p>
    <w:p>
      <w:r>
        <w:t>所属证监会行业: 交通运输、仓储和邮政业-道路运输业</w:t>
      </w:r>
    </w:p>
    <w:p>
      <w:r>
        <w:t>总经理: 蔡亮发</w:t>
      </w:r>
    </w:p>
    <w:p>
      <w:r>
        <w:t>法人代表: 王晶</w:t>
      </w:r>
    </w:p>
    <w:p>
      <w:r>
        <w:t>董秘: 曹洪</w:t>
      </w:r>
    </w:p>
    <w:p>
      <w:r>
        <w:t>董事长: 王晶</w:t>
      </w:r>
    </w:p>
    <w:p>
      <w:r>
        <w:t>证券事务代表: 李艺蕾</w:t>
      </w:r>
    </w:p>
    <w:p>
      <w:r>
        <w:t>独立董事: 寇纲,殷宪锋,孟晓转</w:t>
      </w:r>
    </w:p>
    <w:p>
      <w:r>
        <w:t>联系电话: 028-83256238,028-83262759</w:t>
      </w:r>
    </w:p>
    <w:p>
      <w:r>
        <w:t>电子信箱: zhengquan@scflyy.cn</w:t>
      </w:r>
    </w:p>
    <w:p>
      <w:r>
        <w:t>传真: 028-83258718</w:t>
      </w:r>
    </w:p>
    <w:p>
      <w:r>
        <w:t>公司网址: www.scflyy.cn</w:t>
      </w:r>
    </w:p>
    <w:p>
      <w:r>
        <w:t>办公地址: 四川省成都市青羊区广富路239号N区29栋</w:t>
      </w:r>
    </w:p>
    <w:p>
      <w:r>
        <w:t>注册地址: 四川省绵阳市绵州大道北段98号</w:t>
      </w:r>
    </w:p>
    <w:p>
      <w:r>
        <w:t>区域: 四川</w:t>
      </w:r>
    </w:p>
    <w:p>
      <w:r>
        <w:t>邮政编码: 610091</w:t>
      </w:r>
    </w:p>
    <w:p>
      <w:r>
        <w:t>注册资本(元): 3.135亿</w:t>
      </w:r>
    </w:p>
    <w:p>
      <w:r>
        <w:t>工商登记: 915107007358967844</w:t>
      </w:r>
    </w:p>
    <w:p>
      <w:r>
        <w:t>雇员人数: 2213</w:t>
      </w:r>
    </w:p>
    <w:p>
      <w:r>
        <w:t>管理人员人数: 14</w:t>
      </w:r>
    </w:p>
    <w:p>
      <w:r>
        <w:t>律师事务所: 北京大成(成都)律师事务所</w:t>
      </w:r>
    </w:p>
    <w:p>
      <w:r>
        <w:t>会计师事务所: 信永中和会计师事务所(特殊普通合伙)</w:t>
      </w:r>
    </w:p>
    <w:p>
      <w:r>
        <w:t>公司简介: 四川富临运业集团股份有限公司(以下简称“富临运业”),成立于2002年3月18日。2010年2月10日,公司在深圳证券交易所挂牌上市,股票代码002357,为中国道路旅客运输企业西部第一股。现控股股东为山东永锋集团。富临运业为中国道路旅客运输特级资质企业(全国仅7家)、交通运输部“重点联系道路运输企业”、中国道路运输协会“常务理事单位”、四川省道路运输协会副会长单位、交通运输企业安全生产标准化建设等级一级企业、ISO9001质量体系认证和OHSAS18001职业健康体系认证企业,名列中国道路运输百强诚信企业(2024年)第7位,四川省百强服务企业92位。目前公司整体经营业绩良好,在全国道路运输企业中处于前列,位列上市道路运输企业榜首。</w:t>
      </w:r>
    </w:p>
    <w:p>
      <w:r>
        <w:t>经营范围: 道路旅客运输经营,道路货物运输(不含危险货物),总质量4.5吨及以下普通货运车辆道路货物运输(除网络货运和危险货物),城市配送运输服务(不含危险货物),小微型客车租赁经营服务,巡游出租汽车经营服务,石油制品销售(不含危险化学品),机动车修理和维护,保险兼业代理业务,汽车零配件批发,汽车零配件零售,普通货物仓储服务(不含危险化学品等需许可审批的项目),低温仓储(不含危险化学品等需许可审批的项目),汽车装饰用品销售,停车场服务,国内货物运输代理,信息咨询服务(不含许可类信息咨询服务),道路旅客运输站经营,企业管理,企业管理咨询,旅客票务代理,票务代理服务,人力资源服务(不含职业中介活动、劳务派遣服务),劳务服务(不含劳务派遣),商务代理代办服务,广告发布,广告设计、代理,机动车充电销售,电动汽车充电基础设施运营,道路货物运输站经营。</w:t>
      </w:r>
    </w:p>
    <w:p>
      <w:pPr>
        <w:pStyle w:val="Heading2"/>
      </w:pPr>
      <w:r>
        <w:t>发行相关信息</w:t>
      </w:r>
    </w:p>
    <w:p>
      <w:r>
        <w:t>保荐机构: 东北证券股份有限公司</w:t>
      </w:r>
    </w:p>
    <w:p>
      <w:r>
        <w:t>主承销商: 东北证券股份有限公司</w:t>
      </w:r>
    </w:p>
    <w:p>
      <w:r>
        <w:t>成立日期: 2002-03-18</w:t>
      </w:r>
    </w:p>
    <w:p>
      <w:r>
        <w:t>上市日期: 2010-02-10</w:t>
      </w:r>
    </w:p>
    <w:p>
      <w:r>
        <w:t>发行市盈率(倍): 42.29</w:t>
      </w:r>
    </w:p>
    <w:p>
      <w:r>
        <w:t>网上发行日期: 2010-02-01</w:t>
      </w:r>
    </w:p>
    <w:p>
      <w:r>
        <w:t>发行方式: 网下询价配售</w:t>
      </w:r>
    </w:p>
    <w:p>
      <w:r>
        <w:t>每股面值(元): 1</w:t>
      </w:r>
    </w:p>
    <w:p>
      <w:r>
        <w:t>发行量(股): 2100万</w:t>
      </w:r>
    </w:p>
    <w:p>
      <w:r>
        <w:t>每股发行价(元): 14.97</w:t>
      </w:r>
    </w:p>
    <w:p>
      <w:r>
        <w:t>发行费用(元): 2775万</w:t>
      </w:r>
    </w:p>
    <w:p>
      <w:r>
        <w:t>发行总市值(元): 3.144亿</w:t>
      </w:r>
    </w:p>
    <w:p>
      <w:r>
        <w:t>募集资金净额(元): 2.866亿</w:t>
      </w:r>
    </w:p>
    <w:p>
      <w:r>
        <w:t>首日开盘价(元): 19.00</w:t>
      </w:r>
    </w:p>
    <w:p>
      <w:r>
        <w:t>首日收盘价(元): 20.00</w:t>
      </w:r>
    </w:p>
    <w:p>
      <w:r>
        <w:t>首日换手率: 80.12%</w:t>
      </w:r>
    </w:p>
    <w:p>
      <w:r>
        <w:t>首日最高价(元): 21.00</w:t>
      </w:r>
    </w:p>
    <w:p>
      <w:r>
        <w:t>网下配售中签率: 0.90%</w:t>
      </w:r>
    </w:p>
    <w:p>
      <w:r>
        <w:t>定价中签率: 0.25%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