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川发龙蟒</w:t>
      </w:r>
    </w:p>
    <w:p>
      <w:pPr>
        <w:pStyle w:val="Heading2"/>
      </w:pPr>
      <w:r>
        <w:t>公司基本资料</w:t>
      </w:r>
    </w:p>
    <w:p>
      <w:r>
        <w:t>公司名称: 四川发展龙蟒股份有限公司</w:t>
      </w:r>
    </w:p>
    <w:p>
      <w:r>
        <w:t>英文名称: Sichuan Development Lomon Co.,Ltd</w:t>
      </w:r>
    </w:p>
    <w:p>
      <w:r>
        <w:t>A股代码: 002312</w:t>
      </w:r>
    </w:p>
    <w:p>
      <w:r>
        <w:t>A股简称: 川发龙蟒</w:t>
      </w:r>
    </w:p>
    <w:p>
      <w:r>
        <w:t>A股扩位简称: --</w:t>
      </w:r>
    </w:p>
    <w:p>
      <w:r>
        <w:t>曾用名: 三泰电子→三泰控股→*ST三泰→三泰控股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深交所主板A股</w:t>
      </w:r>
    </w:p>
    <w:p>
      <w:r>
        <w:t>所属东财行业: 基础化工-化学原料-磷化工</w:t>
      </w:r>
    </w:p>
    <w:p>
      <w:r>
        <w:t>上市交易所: 深圳证券交易所</w:t>
      </w:r>
    </w:p>
    <w:p>
      <w:r>
        <w:t>所属证监会行业: 制造业-化学原料和化学制品制造业</w:t>
      </w:r>
    </w:p>
    <w:p>
      <w:r>
        <w:t>总经理: 王利伟</w:t>
      </w:r>
    </w:p>
    <w:p>
      <w:r>
        <w:t>法人代表: 朱全芳</w:t>
      </w:r>
    </w:p>
    <w:p>
      <w:r>
        <w:t>董秘: 宋华梅</w:t>
      </w:r>
    </w:p>
    <w:p>
      <w:r>
        <w:t>董事长: 朱全芳</w:t>
      </w:r>
    </w:p>
    <w:p>
      <w:r>
        <w:t>证券事务代表: 宋晓霞</w:t>
      </w:r>
    </w:p>
    <w:p>
      <w:r>
        <w:t>独立董事: 张怀岭,唐雪松,郭孝东</w:t>
      </w:r>
    </w:p>
    <w:p>
      <w:r>
        <w:t>联系电话: 028-87579929</w:t>
      </w:r>
    </w:p>
    <w:p>
      <w:r>
        <w:t>电子信箱: sdlomon@sdlomon.com</w:t>
      </w:r>
    </w:p>
    <w:p>
      <w:r>
        <w:t>传真: 028-85250639</w:t>
      </w:r>
    </w:p>
    <w:p>
      <w:r>
        <w:t>公司网址: www.sdlomon.com</w:t>
      </w:r>
    </w:p>
    <w:p>
      <w:r>
        <w:t>办公地址: 四川省成都市高新区天府二街151号领地环球金融中心B座</w:t>
      </w:r>
    </w:p>
    <w:p>
      <w:r>
        <w:t>注册地址: 成都市金牛区高科技产业园区蜀西路42号</w:t>
      </w:r>
    </w:p>
    <w:p>
      <w:r>
        <w:t>区域: 四川</w:t>
      </w:r>
    </w:p>
    <w:p>
      <w:r>
        <w:t>邮政编码: 610041</w:t>
      </w:r>
    </w:p>
    <w:p>
      <w:r>
        <w:t>注册资本(元): 18.89亿</w:t>
      </w:r>
    </w:p>
    <w:p>
      <w:r>
        <w:t>工商登记: 9151000063314141XG</w:t>
      </w:r>
    </w:p>
    <w:p>
      <w:r>
        <w:t>雇员人数: 5588</w:t>
      </w:r>
    </w:p>
    <w:p>
      <w:r>
        <w:t>管理人员人数: 20</w:t>
      </w:r>
    </w:p>
    <w:p>
      <w:r>
        <w:t>律师事务所: 北京国枫律师事务所</w:t>
      </w:r>
    </w:p>
    <w:p>
      <w:r>
        <w:t>会计师事务所: 四川华信(集团)会计师事务所(特殊普通合伙)</w:t>
      </w:r>
    </w:p>
    <w:p>
      <w:r>
        <w:t>公司简介: 四川发展龙蟒股份有限公司成立于1997年,2009年在深交所挂牌上市,证券代码002312,控股股东是四川发展(控股)有限责任公司全资子公司四川省先进材料产业投资集团有限公司,实际控制人是四川省政府国有资产监督管理委员会。入选国务院国资委“双百企业”、四川省国资委“天府综改企业”,被评为国家认定企业技术中心、国家知识产权优势企业、中国化工企业500强等。公司作为四川发展(控股)有限责任公司旗下唯一矿化运作上市公司平台,坚持磷化工和新能源材料双轮驱动,采用“总部+基地”模式,已在川鄂两省四地形成磷矿410万吨/年产能、磷酸盐及肥料产品210万吨/年产能,产品远销全球40多个国家和地区,部分产品市场份额全球第一,同时积极布局磷酸铁、磷酸铁锂等锂电新能源材料,打造第二增长曲线。公司坚持“稀缺资源+核心技术+产业整合+先进机制”发展战略,按照“纵向成链、横向循环”思路,结合自身产业优势和资源禀赋,深耕“硫-磷-钛-铁-锂-钙”多资源绿色循环经济产业链,朝着国内具有产业主导力、全球竞争力的一流化工新材料企业之一不断迈进。</w:t>
      </w:r>
    </w:p>
    <w:p>
      <w:r>
        <w:t>经营范围: 一般项目:基础化学原料制造(不含危险化学品等许可类化学品的制造);石灰和石膏制造;技术服务、技术开发、技术咨询、技术交流、技术转让、技术推广;谷物种植;货物进出口;进出口代理;选矿;国际船舶代理;国内货物运输代理;肥料销售;化工产品销售(不含许可类化工产品);金属矿石销售;非金属矿及制品销售;金属材料销售;农副产品销售;煤炭及制品销售;水泥制品销售;合成材料销售;建筑材料销售;涂料销售(不含危险化学品);互联网销售(除销售需要许可的商品);普通货物仓储服务(不含危险化学品等需许可审批的项目);供应链管理服务;信息咨询服务(不含许可类信息咨询服务);信息技术咨询服务;财务咨询;非居住房地产租赁;接受金融机构委托从事信息技术和流程外包服务(不含金融信息服务)。(除依法须经批准的项目外,凭营业执照依法自主开展经营活动)许可项目:肥料生产;食品添加剂生产;饲料添加剂生产;非煤矿山矿产资源开采;房地产开发经营。(依法须经批准的项目,经相关部门批准后方可开展经营活动,具体经营项目以相关部门批准文件或许可证件为准)。</w:t>
      </w:r>
    </w:p>
    <w:p>
      <w:pPr>
        <w:pStyle w:val="Heading2"/>
      </w:pPr>
      <w:r>
        <w:t>发行相关信息</w:t>
      </w:r>
    </w:p>
    <w:p>
      <w:r>
        <w:t>保荐机构: 国都证券有限责任公司</w:t>
      </w:r>
    </w:p>
    <w:p>
      <w:r>
        <w:t>主承销商: 国都证券有限责任公司</w:t>
      </w:r>
    </w:p>
    <w:p>
      <w:r>
        <w:t>成立日期: 1997-05-20</w:t>
      </w:r>
    </w:p>
    <w:p>
      <w:r>
        <w:t>上市日期: 2009-12-03</w:t>
      </w:r>
    </w:p>
    <w:p>
      <w:r>
        <w:t>发行市盈率(倍): 47.67</w:t>
      </w:r>
    </w:p>
    <w:p>
      <w:r>
        <w:t>网上发行日期: 2009-11-24</w:t>
      </w:r>
    </w:p>
    <w:p>
      <w:r>
        <w:t>发行方式: 网下询价配售</w:t>
      </w:r>
    </w:p>
    <w:p>
      <w:r>
        <w:t>每股面值(元): 1</w:t>
      </w:r>
    </w:p>
    <w:p>
      <w:r>
        <w:t>发行量(股): 1500万</w:t>
      </w:r>
    </w:p>
    <w:p>
      <w:r>
        <w:t>每股发行价(元): 28.60</w:t>
      </w:r>
    </w:p>
    <w:p>
      <w:r>
        <w:t>发行费用(元): 3024万</w:t>
      </w:r>
    </w:p>
    <w:p>
      <w:r>
        <w:t>发行总市值(元): 4.290亿</w:t>
      </w:r>
    </w:p>
    <w:p>
      <w:r>
        <w:t>募集资金净额(元): 3.988亿</w:t>
      </w:r>
    </w:p>
    <w:p>
      <w:r>
        <w:t>首日开盘价(元): 56.00</w:t>
      </w:r>
    </w:p>
    <w:p>
      <w:r>
        <w:t>首日收盘价(元): 66.00</w:t>
      </w:r>
    </w:p>
    <w:p>
      <w:r>
        <w:t>首日换手率: 84.00%</w:t>
      </w:r>
    </w:p>
    <w:p>
      <w:r>
        <w:t>首日最高价(元): 67.00</w:t>
      </w:r>
    </w:p>
    <w:p>
      <w:r>
        <w:t>网下配售中签率: 0.66%</w:t>
      </w:r>
    </w:p>
    <w:p>
      <w:r>
        <w:t>定价中签率: 0.21%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