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川大智胜</w:t>
      </w:r>
    </w:p>
    <w:p>
      <w:pPr>
        <w:pStyle w:val="Heading2"/>
      </w:pPr>
      <w:r>
        <w:t>公司基本资料</w:t>
      </w:r>
    </w:p>
    <w:p>
      <w:r>
        <w:t>公司名称: 四川川大智胜软件股份有限公司</w:t>
      </w:r>
    </w:p>
    <w:p>
      <w:r>
        <w:t>英文名称: Wisesoft Co., Ltd.</w:t>
      </w:r>
    </w:p>
    <w:p>
      <w:r>
        <w:t>A股代码: 002253</w:t>
      </w:r>
    </w:p>
    <w:p>
      <w:r>
        <w:t>A股简称: 川大智胜</w:t>
      </w:r>
    </w:p>
    <w:p>
      <w:r>
        <w:t>A股扩位简称: --</w:t>
      </w:r>
    </w:p>
    <w:p>
      <w:r>
        <w:t>曾用名: --</w:t>
      </w:r>
    </w:p>
    <w:p>
      <w:r>
        <w:t>B股代码: --</w:t>
      </w:r>
    </w:p>
    <w:p>
      <w:r>
        <w:t>B股简称: --</w:t>
      </w:r>
    </w:p>
    <w:p>
      <w:r>
        <w:t>H股代码: --</w:t>
      </w:r>
    </w:p>
    <w:p>
      <w:r>
        <w:t>H股简称: --</w:t>
      </w:r>
    </w:p>
    <w:p>
      <w:r>
        <w:t>证券类别: 深交所主板A股</w:t>
      </w:r>
    </w:p>
    <w:p>
      <w:r>
        <w:t>所属东财行业: 信息技术-计算机软件-行业应用软件</w:t>
      </w:r>
    </w:p>
    <w:p>
      <w:r>
        <w:t>上市交易所: 深圳证券交易所</w:t>
      </w:r>
    </w:p>
    <w:p>
      <w:r>
        <w:t>所属证监会行业: 信息传输、软件和信息技术服务业-软件和信息技术服务业</w:t>
      </w:r>
    </w:p>
    <w:p>
      <w:r>
        <w:t>总经理: 刘健波</w:t>
      </w:r>
    </w:p>
    <w:p>
      <w:r>
        <w:t>法人代表: 游志胜</w:t>
      </w:r>
    </w:p>
    <w:p>
      <w:r>
        <w:t>董秘: 吴俊杰</w:t>
      </w:r>
    </w:p>
    <w:p>
      <w:r>
        <w:t>董事长: 游志胜</w:t>
      </w:r>
    </w:p>
    <w:p>
      <w:r>
        <w:t>证券事务代表: --</w:t>
      </w:r>
    </w:p>
    <w:p>
      <w:r>
        <w:t>独立董事: 车晓昕,王清云,袁仕理</w:t>
      </w:r>
    </w:p>
    <w:p>
      <w:r>
        <w:t>联系电话: 028-68727819,028-68727816</w:t>
      </w:r>
    </w:p>
    <w:p>
      <w:r>
        <w:t>电子信箱: wisesoft@wisesoft.com.cn</w:t>
      </w:r>
    </w:p>
    <w:p>
      <w:r>
        <w:t>传真: 028-85372506</w:t>
      </w:r>
    </w:p>
    <w:p>
      <w:r>
        <w:t>公司网址: www.wisesoft.com.cn</w:t>
      </w:r>
    </w:p>
    <w:p>
      <w:r>
        <w:t>办公地址: 四川省成都市武科东一路七号</w:t>
      </w:r>
    </w:p>
    <w:p>
      <w:r>
        <w:t>注册地址: 四川省成都市武科东一路七号</w:t>
      </w:r>
    </w:p>
    <w:p>
      <w:r>
        <w:t>区域: 四川</w:t>
      </w:r>
    </w:p>
    <w:p>
      <w:r>
        <w:t>邮政编码: 610045</w:t>
      </w:r>
    </w:p>
    <w:p>
      <w:r>
        <w:t>注册资本(元): 2.256亿</w:t>
      </w:r>
    </w:p>
    <w:p>
      <w:r>
        <w:t>工商登记: 91510100723431912P</w:t>
      </w:r>
    </w:p>
    <w:p>
      <w:r>
        <w:t>雇员人数: 371</w:t>
      </w:r>
    </w:p>
    <w:p>
      <w:r>
        <w:t>管理人员人数: 23</w:t>
      </w:r>
    </w:p>
    <w:p>
      <w:r>
        <w:t>律师事务所: 广东信达律师事务所</w:t>
      </w:r>
    </w:p>
    <w:p>
      <w:r>
        <w:t>会计师事务所: 四川华信(集团)会计师事务所(特殊普通合伙)</w:t>
      </w:r>
    </w:p>
    <w:p>
      <w:r>
        <w:t>公司简介: 四川川大智胜软件股份有限公司(WisesoftCo.,Ltd.)成立于2000年11月,2008年6月在深圳证券交易所挂牌上市。公司长期坚持自主创新,将图形图像技术、人工智能技术应用到三维测量与人脸识别、航空与空中交通管理、飞行模拟等领域。经过多年的技术沉淀,公司已是国内领先的三维人脸识别系统及空中交通管制系统的产品开发、系统集成和服务供应商。公司先后获得国家科技进步一等奖1项、二等奖4项,国家技术发明二等奖1项,省部级科技进步一等奖8项、二等奖8项。公司是视觉合成图形图像技术国防重点学科实验室的试验基地和技术支撑单位。公司将依托自主创新和平台优势,在现有主要业务持续增长的基础上,努力开拓新的利润增长点,实现公司业绩的稳健快速增长。建成:积淀深厚、产品质量优秀、管理体系健全、盈利能力强劲、奖惩分明、绩效激励、员工待遇优厚的自主创新型集团公司。</w:t>
      </w:r>
    </w:p>
    <w:p>
      <w:r>
        <w:t>经营范围: 软件开发;人工智能公共服务平台技术咨询服务;信息系统集成服务;人工智能通用应用系统;人工智能行业应用系统集成服务;信息系统运行维护服务;数据处理和存储支持服务;信息技术咨询服务;数字内容制作服务(不含出版发行);数据处理服务;计算机系统服务;云计算装备技术服务;技术服务、技术开发、技术咨询、技术交流、技术转让、技术推广;业务培训(不含教育培训、职业技能培训等需取得许可的培训);租赁服务(不含许可类租赁服务);信息咨询服务(不含许可类信息咨询服务);安全系统监控服务;知识产权服务(专利代理服务除外);计算机信息系统安全专用产品销售;通用航空服务。</w:t>
      </w:r>
    </w:p>
    <w:p>
      <w:pPr>
        <w:pStyle w:val="Heading2"/>
      </w:pPr>
      <w:r>
        <w:t>发行相关信息</w:t>
      </w:r>
    </w:p>
    <w:p>
      <w:r>
        <w:t>保荐机构: 招商证券股份有限公司</w:t>
      </w:r>
    </w:p>
    <w:p>
      <w:r>
        <w:t>主承销商: 招商证券股份有限公司</w:t>
      </w:r>
    </w:p>
    <w:p>
      <w:r>
        <w:t>成立日期: 1994-06-04</w:t>
      </w:r>
    </w:p>
    <w:p>
      <w:r>
        <w:t>上市日期: 2008-06-23</w:t>
      </w:r>
    </w:p>
    <w:p>
      <w:r>
        <w:t>发行市盈率(倍): 29.32</w:t>
      </w:r>
    </w:p>
    <w:p>
      <w:r>
        <w:t>网上发行日期: 2008-06-11</w:t>
      </w:r>
    </w:p>
    <w:p>
      <w:r>
        <w:t>发行方式: 网下询价配售</w:t>
      </w:r>
    </w:p>
    <w:p>
      <w:r>
        <w:t>每股面值(元): 1</w:t>
      </w:r>
    </w:p>
    <w:p>
      <w:r>
        <w:t>发行量(股): 1300万</w:t>
      </w:r>
    </w:p>
    <w:p>
      <w:r>
        <w:t>每股发行价(元): 14.75</w:t>
      </w:r>
    </w:p>
    <w:p>
      <w:r>
        <w:t>发行费用(元): 1710万</w:t>
      </w:r>
    </w:p>
    <w:p>
      <w:r>
        <w:t>发行总市值(元): 1.918亿</w:t>
      </w:r>
    </w:p>
    <w:p>
      <w:r>
        <w:t>募集资金净额(元): 1.747亿</w:t>
      </w:r>
    </w:p>
    <w:p>
      <w:r>
        <w:t>首日开盘价(元): 21.00</w:t>
      </w:r>
    </w:p>
    <w:p>
      <w:r>
        <w:t>首日收盘价(元): 18.20</w:t>
      </w:r>
    </w:p>
    <w:p>
      <w:r>
        <w:t>首日换手率: 83.81%</w:t>
      </w:r>
    </w:p>
    <w:p>
      <w:r>
        <w:t>首日最高价(元): 21.90</w:t>
      </w:r>
    </w:p>
    <w:p>
      <w:r>
        <w:t>网下配售中签率: 0.46%</w:t>
      </w:r>
    </w:p>
    <w:p>
      <w:r>
        <w:t>定价中签率: 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