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川能动力</w:t>
      </w:r>
    </w:p>
    <w:p>
      <w:pPr>
        <w:pStyle w:val="Heading2"/>
      </w:pPr>
      <w:r>
        <w:t>公司基本资料</w:t>
      </w:r>
    </w:p>
    <w:p>
      <w:r>
        <w:t>公司名称: 四川省新能源动力股份有限公司</w:t>
      </w:r>
    </w:p>
    <w:p>
      <w:r>
        <w:t>英文名称: Sichuan New Energy Power Company Limited</w:t>
      </w:r>
    </w:p>
    <w:p>
      <w:r>
        <w:t>A股代码: 000155</w:t>
      </w:r>
    </w:p>
    <w:p>
      <w:r>
        <w:t>A股简称: 川能动力</w:t>
      </w:r>
    </w:p>
    <w:p>
      <w:r>
        <w:t>A股扩位简称: --</w:t>
      </w:r>
    </w:p>
    <w:p>
      <w:r>
        <w:t>曾用名: 川化股份→G川化→川化股份→*ST川化→川化股份→ST川化→*ST川化→川化股份</w:t>
      </w:r>
    </w:p>
    <w:p>
      <w:r>
        <w:t>B股代码: --</w:t>
      </w:r>
    </w:p>
    <w:p>
      <w:r>
        <w:t>B股简称: --</w:t>
      </w:r>
    </w:p>
    <w:p>
      <w:r>
        <w:t>H股代码: --</w:t>
      </w:r>
    </w:p>
    <w:p>
      <w:r>
        <w:t>H股简称: --</w:t>
      </w:r>
    </w:p>
    <w:p>
      <w:r>
        <w:t>证券类别: 深交所主板A股</w:t>
      </w:r>
    </w:p>
    <w:p>
      <w:r>
        <w:t>所属东财行业: 公用事业-电力-新能源发电</w:t>
      </w:r>
    </w:p>
    <w:p>
      <w:r>
        <w:t>上市交易所: 深圳证券交易所</w:t>
      </w:r>
    </w:p>
    <w:p>
      <w:r>
        <w:t>所属证监会行业: 电力、热力、燃气及水生产和供应业-电力、热力生产和供应业</w:t>
      </w:r>
    </w:p>
    <w:p>
      <w:r>
        <w:t>总经理: 万鹏</w:t>
      </w:r>
    </w:p>
    <w:p>
      <w:r>
        <w:t>法人代表: 何连俊</w:t>
      </w:r>
    </w:p>
    <w:p>
      <w:r>
        <w:t>董秘: 欧健成</w:t>
      </w:r>
    </w:p>
    <w:p>
      <w:r>
        <w:t>董事长: 何连俊</w:t>
      </w:r>
    </w:p>
    <w:p>
      <w:r>
        <w:t>证券事务代表: 付佳</w:t>
      </w:r>
    </w:p>
    <w:p>
      <w:r>
        <w:t>独立董事: 赵德武,郭龙伟</w:t>
      </w:r>
    </w:p>
    <w:p>
      <w:r>
        <w:t>联系电话: 028-67175728,028-62095615</w:t>
      </w:r>
    </w:p>
    <w:p>
      <w:r>
        <w:t>电子信箱: mail@cndl155.com</w:t>
      </w:r>
    </w:p>
    <w:p>
      <w:r>
        <w:t>传真: 028-65258921</w:t>
      </w:r>
    </w:p>
    <w:p>
      <w:r>
        <w:t>公司网址: www.cndl155.com</w:t>
      </w:r>
    </w:p>
    <w:p>
      <w:r>
        <w:t>办公地址: 四川省成都市武侯区剑南大道中段716号2号楼16楼</w:t>
      </w:r>
    </w:p>
    <w:p>
      <w:r>
        <w:t>注册地址: 四川省成都市青白江区大弯镇团结路311号</w:t>
      </w:r>
    </w:p>
    <w:p>
      <w:r>
        <w:t>区域: 四川</w:t>
      </w:r>
    </w:p>
    <w:p>
      <w:r>
        <w:t>邮政编码: 610094</w:t>
      </w:r>
    </w:p>
    <w:p>
      <w:r>
        <w:t>注册资本(元): 18.46亿</w:t>
      </w:r>
    </w:p>
    <w:p>
      <w:r>
        <w:t>工商登记: 91510000202285163Q</w:t>
      </w:r>
    </w:p>
    <w:p>
      <w:r>
        <w:t>雇员人数: 2024</w:t>
      </w:r>
    </w:p>
    <w:p>
      <w:r>
        <w:t>管理人员人数: 13</w:t>
      </w:r>
    </w:p>
    <w:p>
      <w:r>
        <w:t>律师事务所: 泰和泰律师事务所</w:t>
      </w:r>
    </w:p>
    <w:p>
      <w:r>
        <w:t>会计师事务所: 天健会计师事务所(特殊普通合伙)</w:t>
      </w:r>
    </w:p>
    <w:p>
      <w:r>
        <w:t>公司简介: 四川省新能源动力股份有限公司(以下简称川能动力)曾名川化股份有限公司,成立于1997年9月,2000年9月26日在深圳证券交易所主板上市(股票代码000155)。控股股东为四川省能源投资集团有限责任公司,最终实际控制人为四川省政府国有资产监督管理委员会。公司以“发展新型能源,改善生态环境”为使命,秉持“诚信负责,创新进取,合作共赢”的核心价值观,坚持突出新能源主业,围绕新能源电力类业务和锂电类业务协同发展,业务涉及风力光伏发电、垃圾发电、锂矿采选、锂盐生产等多个领域。新能源电力类业务方面,建设和运营风电、光伏、垃圾发电等清洁能源项目,通过清洁能源总体规划、大力整合、专项建设和有效运营,打造一流的新能源知名企业。锂电类业务方面,以锂电产业链打造为核心,以锂电上游领域的锂矿采选、锂盐生产为切入点,深度布局锂电产业链。公司具有较强的区位优势、行业优势、资源优势、资金优势和管理优势,力争在新能源发电领域形成规模化竞争优势,在锂电领域形成差异化竞争优势,坚持绿色、环保的产业发展理念,成为技术实力领先、盈利能力领先、商业模式领先的国内新能源标杆企业,荣获2020年第九届中国上市公司高峰论坛新材料新能源行业最具成长上市公司、四川省最佳文明单位、四川省诚信企业等荣誉称号。</w:t>
      </w:r>
    </w:p>
    <w:p>
      <w:r>
        <w:t>经营范围: 道路运输经营;危险化学品经营(经营项目以《危险化学品经营许可证》为准);专用铁路兼办铁路货物运输(发送名类、到达品类按铁道部公布的《铁路专用线专用铁路名称表》为准)。(以上项目及期限以许可证为准)(以下项目不含前置许可项目,后置许可项目凭许可证或审批文件经营)锂离子电池制造;风力发电、太阳能发电;有色金属矿采选业;无机盐制造;商品批发与零售;进出口业;仓储业;工程机械租赁;货运代理;建筑装修装饰工程;科技推广和应用服务业;环境治理;专业技术服务业;金属制品、机械和设备修理业;人力资源管理服务;装卸搬运。(依法须经批准的项目,经相关部门批准后方可开展经营活动)</w:t>
      </w:r>
    </w:p>
    <w:p>
      <w:pPr>
        <w:pStyle w:val="Heading2"/>
      </w:pPr>
      <w:r>
        <w:t>发行相关信息</w:t>
      </w:r>
    </w:p>
    <w:p>
      <w:r>
        <w:t>保荐机构: 北京证券有限责任公司,国信证券有限责任公司</w:t>
      </w:r>
    </w:p>
    <w:p>
      <w:r>
        <w:t>主承销商: 国信证券有限责任公司</w:t>
      </w:r>
    </w:p>
    <w:p>
      <w:r>
        <w:t>成立日期: 1997-10-20</w:t>
      </w:r>
    </w:p>
    <w:p>
      <w:r>
        <w:t>上市日期: 2000-09-26</w:t>
      </w:r>
    </w:p>
    <w:p>
      <w:r>
        <w:t>发行市盈率(倍): 26.87</w:t>
      </w:r>
    </w:p>
    <w:p>
      <w:r>
        <w:t>网上发行日期: 2000-09-08</w:t>
      </w:r>
    </w:p>
    <w:p>
      <w:r>
        <w:t>发行方式: 定向配售</w:t>
      </w:r>
    </w:p>
    <w:p>
      <w:r>
        <w:t>每股面值(元): 1</w:t>
      </w:r>
    </w:p>
    <w:p>
      <w:r>
        <w:t>发行量(股): 1.300亿</w:t>
      </w:r>
    </w:p>
    <w:p>
      <w:r>
        <w:t>每股发行价(元): 6.18</w:t>
      </w:r>
    </w:p>
    <w:p>
      <w:r>
        <w:t>发行费用(元): --</w:t>
      </w:r>
    </w:p>
    <w:p>
      <w:r>
        <w:t>发行总市值(元): 8.034亿</w:t>
      </w:r>
    </w:p>
    <w:p>
      <w:r>
        <w:t>募集资金净额(元): 7.781亿</w:t>
      </w:r>
    </w:p>
    <w:p>
      <w:r>
        <w:t>首日开盘价(元): 8.77</w:t>
      </w:r>
    </w:p>
    <w:p>
      <w:r>
        <w:t>首日收盘价(元): 8.20</w:t>
      </w:r>
    </w:p>
    <w:p>
      <w:r>
        <w:t>首日换手率: 37.56%</w:t>
      </w:r>
    </w:p>
    <w:p>
      <w:r>
        <w:t>首日最高价(元): 8.90</w:t>
      </w:r>
    </w:p>
    <w:p>
      <w:r>
        <w:t>网下配售中签率: --</w:t>
      </w:r>
    </w:p>
    <w:p>
      <w:r>
        <w:t>定价中签率: 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