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彩虹集团</w:t>
      </w:r>
    </w:p>
    <w:p>
      <w:pPr>
        <w:pStyle w:val="Heading2"/>
      </w:pPr>
      <w:r>
        <w:t>公司基本资料</w:t>
      </w:r>
    </w:p>
    <w:p>
      <w:r>
        <w:t>公司名称: 成都彩虹电器(集团)股份有限公司</w:t>
      </w:r>
    </w:p>
    <w:p>
      <w:r>
        <w:t>英文名称: Chengdu Rainbow Appliance(Group) Shares Co.,LTD.</w:t>
      </w:r>
    </w:p>
    <w:p>
      <w:r>
        <w:t>A股代码: 003023</w:t>
      </w:r>
    </w:p>
    <w:p>
      <w:r>
        <w:t>A股简称: 彩虹集团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电子设备-消费电子设备-消费电子设备</w:t>
      </w:r>
    </w:p>
    <w:p>
      <w:r>
        <w:t>上市交易所: 深圳证券交易所</w:t>
      </w:r>
    </w:p>
    <w:p>
      <w:r>
        <w:t>所属证监会行业: 制造业-电气机械和器材制造业</w:t>
      </w:r>
    </w:p>
    <w:p>
      <w:r>
        <w:t>总经理: 刘斌</w:t>
      </w:r>
    </w:p>
    <w:p>
      <w:r>
        <w:t>法人代表: 黄朝万</w:t>
      </w:r>
    </w:p>
    <w:p>
      <w:r>
        <w:t>董秘: 张浩军</w:t>
      </w:r>
    </w:p>
    <w:p>
      <w:r>
        <w:t>董事长: 黄朝万</w:t>
      </w:r>
    </w:p>
    <w:p>
      <w:r>
        <w:t>证券事务代表: 倪帆</w:t>
      </w:r>
    </w:p>
    <w:p>
      <w:r>
        <w:t>独立董事: 陈彤,陈禹,万国超</w:t>
      </w:r>
    </w:p>
    <w:p>
      <w:r>
        <w:t>联系电话: 028-85362392</w:t>
      </w:r>
    </w:p>
    <w:p>
      <w:r>
        <w:t>电子信箱: bod@rainbow.com.cn</w:t>
      </w:r>
    </w:p>
    <w:p>
      <w:r>
        <w:t>传真: 028-85373601</w:t>
      </w:r>
    </w:p>
    <w:p>
      <w:r>
        <w:t>公司网址: www.rainbow.com.cn</w:t>
      </w:r>
    </w:p>
    <w:p>
      <w:r>
        <w:t>办公地址: 四川省成都市武侯区武侯大道顺江段73号</w:t>
      </w:r>
    </w:p>
    <w:p>
      <w:r>
        <w:t>注册地址: 四川省成都市武侯区武侯大道顺江段73号</w:t>
      </w:r>
    </w:p>
    <w:p>
      <w:r>
        <w:t>区域: 四川</w:t>
      </w:r>
    </w:p>
    <w:p>
      <w:r>
        <w:t>邮政编码: 610045</w:t>
      </w:r>
    </w:p>
    <w:p>
      <w:r>
        <w:t>注册资本(元): 1.053亿</w:t>
      </w:r>
    </w:p>
    <w:p>
      <w:r>
        <w:t>工商登记: 915101002019667683</w:t>
      </w:r>
    </w:p>
    <w:p>
      <w:r>
        <w:t>雇员人数: 2870</w:t>
      </w:r>
    </w:p>
    <w:p>
      <w:r>
        <w:t>管理人员人数: 19</w:t>
      </w:r>
    </w:p>
    <w:p>
      <w:r>
        <w:t>律师事务所: 北京市天元(成都)律师事务所</w:t>
      </w:r>
    </w:p>
    <w:p>
      <w:r>
        <w:t>会计师事务所: 四川华信(集团)会计师事务所(特殊普通合伙)</w:t>
      </w:r>
    </w:p>
    <w:p>
      <w:r>
        <w:t>公司简介: 成都彩虹电器(集团)股份有限公司是1983年始建的非公有制企业,主营产品是以"彩虹"电热毯为代表的电热取暖器具和"彩虹"电蚊香为代表的家庭卫生杀虫用品,是全球最大的电热毯制造企业,也是我国卫生杀虫产品行业的龙头骨干企业。"彩虹"商标被认定为中国驰名商标。"彩虹"电热毯连续两届被评为"中国名牌"产品,市场占有率名列全国同行业首位。彩虹集团目前为中国轻工业联合会常务理事、中国日用杂品协会副理事长单位。公司先后荣获全国五一劳动奖状、全国模范职工之家、全国厂务公开民主管理示范单位、全国模范劳动关系和谐企业、全国助残先进单位、中国民营企业文化建设先进单位、中国轻工业日用杂品行业十强企业、四川省先进基层党组织、成都市首届政府质量奖。彩虹集团2020年12月正式在深圳挂牌上市,彩虹紧扣贯彻新发展理念、构建新发展格局、推进高质量发展的实践要求,彩虹集团提出了"精彩生活、无微不至"的品牌口号,并围绕"家"场景制定全新的"日月星"发展战略,搭建了"家暖""家卫""家清""家康""家宠""家智"六大业务体系,服务每一个微小生活场景,为国民提供安全、品质、舒适、高效、健康的全方位生活细节产品,持续为国民家庭及个人生活质量加分。</w:t>
      </w:r>
    </w:p>
    <w:p>
      <w:r>
        <w:t>经营范围: 家用电器研发;家用电器制造;家用电器销售;卫生用杀虫剂销售;家居用品制造;家居用品销售;母婴用品制造;母婴用品销售;互联网销售(除销售需要许可的商品);智能家庭消费设备制造;智能家庭消费设备销售;消毒剂销售(不含危险化学品);卫生用品和一次性使用医疗用品销售;日用品销售;日用百货销售;日用化学产品制造;日用化学产品销售;日用口罩(非医用)生产;日用口罩(非医用)销售;第一类医疗器械销售;化妆品零售;化妆品批发;家用纺织制成品制造;针纺织品及原料销售;针纺织品销售;食品用洗涤剂销售;宠物食品及用品零售;宠物食品及用品批发;日用杂品制造;日用杂品销售;第二类医疗器械销售;医用口罩零售;医用口罩批发;货物进出口。(除依法须经批准的项目外,凭营业执照依法自主开展经营活动)许可项目:农药生产;农药零售;农药批发;道路货物运输(不含危险货物);化妆品生产;卫生用品和一次性使用医疗用品生产;食品用洗涤剂生产;饲料生产;消毒剂生产(不含危险化学品)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1994-03-02</w:t>
      </w:r>
    </w:p>
    <w:p>
      <w:r>
        <w:t>上市日期: 2020-12-11</w:t>
      </w:r>
    </w:p>
    <w:p>
      <w:r>
        <w:t>发行市盈率(倍): 22.99</w:t>
      </w:r>
    </w:p>
    <w:p>
      <w:r>
        <w:t>网上发行日期: 2020-12-02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2030万</w:t>
      </w:r>
    </w:p>
    <w:p>
      <w:r>
        <w:t>每股发行价(元): 23.89</w:t>
      </w:r>
    </w:p>
    <w:p>
      <w:r>
        <w:t>发行费用(元): 6891万</w:t>
      </w:r>
    </w:p>
    <w:p>
      <w:r>
        <w:t>发行总市值(元): 4.850亿</w:t>
      </w:r>
    </w:p>
    <w:p>
      <w:r>
        <w:t>募集资金净额(元): 4.161亿</w:t>
      </w:r>
    </w:p>
    <w:p>
      <w:r>
        <w:t>首日开盘价(元): 28.67</w:t>
      </w:r>
    </w:p>
    <w:p>
      <w:r>
        <w:t>首日收盘价(元): 34.40</w:t>
      </w:r>
    </w:p>
    <w:p>
      <w:r>
        <w:t>首日换手率: 1.34%</w:t>
      </w:r>
    </w:p>
    <w:p>
      <w:r>
        <w:t>首日最高价(元): 34.40</w:t>
      </w:r>
    </w:p>
    <w:p>
      <w:r>
        <w:t>网下配售中签率: 0.01%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