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成都华微</w:t>
      </w:r>
    </w:p>
    <w:p>
      <w:pPr>
        <w:pStyle w:val="Heading2"/>
      </w:pPr>
      <w:r>
        <w:t>公司基本资料</w:t>
      </w:r>
    </w:p>
    <w:p>
      <w:r>
        <w:t>公司名称: 成都华微电子科技股份有限公司</w:t>
      </w:r>
    </w:p>
    <w:p>
      <w:r>
        <w:t>英文名称: Chengdu Sino-Microelectronics Technology Co., Ltd.</w:t>
      </w:r>
    </w:p>
    <w:p>
      <w:r>
        <w:t>A股代码: 688709</w:t>
      </w:r>
    </w:p>
    <w:p>
      <w:r>
        <w:t>A股简称: 成都华微</w:t>
      </w:r>
    </w:p>
    <w:p>
      <w:r>
        <w:t>A股扩位简称: 成都华微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上交所科创板A股</w:t>
      </w:r>
    </w:p>
    <w:p>
      <w:r>
        <w:t>所属东财行业: 电子设备-半导体-集成电路</w:t>
      </w:r>
    </w:p>
    <w:p>
      <w:r>
        <w:t>上市交易所: 上海证券交易所</w:t>
      </w:r>
    </w:p>
    <w:p>
      <w:r>
        <w:t>所属证监会行业: 制造业-计算机、通信和其他电子设备制造业</w:t>
      </w:r>
    </w:p>
    <w:p>
      <w:r>
        <w:t>总经理: 王策</w:t>
      </w:r>
    </w:p>
    <w:p>
      <w:r>
        <w:t>法人代表: 王策</w:t>
      </w:r>
    </w:p>
    <w:p>
      <w:r>
        <w:t>董秘: 李春妍</w:t>
      </w:r>
    </w:p>
    <w:p>
      <w:r>
        <w:t>董事长: 李烨</w:t>
      </w:r>
    </w:p>
    <w:p>
      <w:r>
        <w:t>证券事务代表: 周文明,蔡进</w:t>
      </w:r>
    </w:p>
    <w:p>
      <w:r>
        <w:t>独立董事: 李越冬,贺正生,刘莉萍</w:t>
      </w:r>
    </w:p>
    <w:p>
      <w:r>
        <w:t>联系电话: 028-85136118</w:t>
      </w:r>
    </w:p>
    <w:p>
      <w:r>
        <w:t>电子信箱: investors@csmsc.com</w:t>
      </w:r>
    </w:p>
    <w:p>
      <w:r>
        <w:t>传真: 028-85187895</w:t>
      </w:r>
    </w:p>
    <w:p>
      <w:r>
        <w:t>公司网址: --</w:t>
      </w:r>
    </w:p>
    <w:p>
      <w:r>
        <w:t>办公地址: 成都市高新区益州大道中段1800号1栋、成都市双流区双华路288号</w:t>
      </w:r>
    </w:p>
    <w:p>
      <w:r>
        <w:t>注册地址: 中国(四川)自由贸易试验区成都高新区益州大道中段1800号1栋22-23层2201号、2301号</w:t>
      </w:r>
    </w:p>
    <w:p>
      <w:r>
        <w:t>区域: 四川</w:t>
      </w:r>
    </w:p>
    <w:p>
      <w:r>
        <w:t>邮政编码: 610096</w:t>
      </w:r>
    </w:p>
    <w:p>
      <w:r>
        <w:t>注册资本(元): 6.368亿</w:t>
      </w:r>
    </w:p>
    <w:p>
      <w:r>
        <w:t>工商登记: 91510100720342949A</w:t>
      </w:r>
    </w:p>
    <w:p>
      <w:r>
        <w:t>雇员人数: 953</w:t>
      </w:r>
    </w:p>
    <w:p>
      <w:r>
        <w:t>管理人员人数: 16</w:t>
      </w:r>
    </w:p>
    <w:p>
      <w:r>
        <w:t>律师事务所: 北京市中伦律师事务所</w:t>
      </w:r>
    </w:p>
    <w:p>
      <w:r>
        <w:t>会计师事务所: 大信会计师事务所(特殊普通合伙)</w:t>
      </w:r>
    </w:p>
    <w:p>
      <w:r>
        <w:t>公司简介: 成都华微电子科技股份有限公司专注于特种集成电路的研发、设计、测试与销售,以提供信号处理与控制系统的整体解决方案为产业发展方向,主要产品涵盖特种数字及模拟集成电路两大领域,其中数字集成电路产品包括以可编程逻辑器件(CPLD/FPGA)为代表的逻辑芯片、存储芯片及微控制器等,模拟集成电路产品包括数据转换(ADC/DAC)、总线接口、电源管理及放大器等,产品广泛应用于电子、通信、控制、测量等特种领域。</w:t>
        <w:br/>
        <w:t xml:space="preserve">    公司作为国家“909”工程集成电路设计公司和国家首批认证的集成电路设计企业,连续承接国家“十一五”、“十二五”、“十三五”FPGA国家科技重大专项,“十三五”高速高精度ADC国家科技重大专项、高速高精度ADC国家重点研发计划,智能异构可编程SoC国家重点研发计划,是国内少数几家同时承接数字和模拟集成电路国家重大专项的企业。在技术与研发方面,公司高度重视对产品及技术的研发投入,近三年累计研发投入占累计营业收入的比例超过60%。公司已形成了一系列核心技术成果,整体技术储备处于特种集成电路设计行业第一梯队,拥有多项发明专利、集成电路布图设计权、软件著作权等,在大规模FPGA及CPLD、高精度ADC等领域相关技术处于国内领先地位。公司高度重视研发人才的引进和培养,目前研发人员占员工总数的比例超过50%,形成了较为完善的研发体系及人才梯队。</w:t>
        <w:br/>
        <w:t xml:space="preserve">    在产品方面,公司同时具备数字与模拟领域集成电路产品设计能力,产品覆盖可编程逻辑器件(CPLD/FPGA)、数据转换(ADC/DAC)、存储芯片、总线接口、电源管理、微控制器等多系列集成电路产品,具备为客户提供集成电路综合解决方案的能力。公司高度重视产品从研发到交付各道环节的质量控制,建立了特种集成电路检测线和完善的质量控制体系,拥有中国合格评定国家认可委员会CNAS、国防科技工业实验室认可委员会DiLAC认证的国家级检测中心,具有较为完备的集成电路成品测试能力。</w:t>
      </w:r>
    </w:p>
    <w:p>
      <w:r>
        <w:t>经营范围: 设计、开发、生产(另设分支机构或另择经营场地经营)、销售电子产品、电子元器件及技术咨询、技术服务;货物及技术进出口;信息系统集成;公共安全技术防范工程、通讯工程的设计及施工(涉及资质许可证的凭相关资质许可证从事经营);开发、销售软件;(以上经营项目依法须经批准的项目,经相关部门批准后方可开展经营活动)</w:t>
      </w:r>
    </w:p>
    <w:p>
      <w:pPr>
        <w:pStyle w:val="Heading2"/>
      </w:pPr>
      <w:r>
        <w:t>发行相关信息</w:t>
      </w:r>
    </w:p>
    <w:p>
      <w:r>
        <w:t>保荐机构: 华泰联合证券有限责任公司</w:t>
      </w:r>
    </w:p>
    <w:p>
      <w:r>
        <w:t>主承销商: 华泰联合证券有限责任公司</w:t>
      </w:r>
    </w:p>
    <w:p>
      <w:r>
        <w:t>成立日期: 2000-03-09</w:t>
      </w:r>
    </w:p>
    <w:p>
      <w:r>
        <w:t>上市日期: 2024-02-07</w:t>
      </w:r>
    </w:p>
    <w:p>
      <w:r>
        <w:t>发行市盈率(倍): 37.04</w:t>
      </w:r>
    </w:p>
    <w:p>
      <w:r>
        <w:t>网上发行日期: 2024-01-29</w:t>
      </w:r>
    </w:p>
    <w:p>
      <w:r>
        <w:t>发行方式: 战略配售,网下询价配售,网上定价发行,市值申购,保荐机构参与配售,高管员工参与配售</w:t>
      </w:r>
    </w:p>
    <w:p>
      <w:r>
        <w:t>每股面值(元): 1</w:t>
      </w:r>
    </w:p>
    <w:p>
      <w:r>
        <w:t>发行量(股): 9560万</w:t>
      </w:r>
    </w:p>
    <w:p>
      <w:r>
        <w:t>每股发行价(元): 15.69</w:t>
      </w:r>
    </w:p>
    <w:p>
      <w:r>
        <w:t>发行费用(元): 8404万</w:t>
      </w:r>
    </w:p>
    <w:p>
      <w:r>
        <w:t>发行总市值(元): 15.00亿</w:t>
      </w:r>
    </w:p>
    <w:p>
      <w:r>
        <w:t>募集资金净额(元): 14.16亿</w:t>
      </w:r>
    </w:p>
    <w:p>
      <w:r>
        <w:t>首日开盘价(元): 21.33</w:t>
      </w:r>
    </w:p>
    <w:p>
      <w:r>
        <w:t>首日收盘价(元): 19.69</w:t>
      </w:r>
    </w:p>
    <w:p>
      <w:r>
        <w:t>首日换手率: 68.31%</w:t>
      </w:r>
    </w:p>
    <w:p>
      <w:r>
        <w:t>首日最高价(元): 24.88</w:t>
      </w:r>
    </w:p>
    <w:p>
      <w:r>
        <w:t>网下配售中签率: 0.03%</w:t>
      </w:r>
    </w:p>
    <w:p>
      <w:r>
        <w:t>定价中签率: 0.06%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