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成飞集成</w:t>
      </w:r>
    </w:p>
    <w:p>
      <w:pPr>
        <w:pStyle w:val="Heading2"/>
      </w:pPr>
      <w:r>
        <w:t>公司基本资料</w:t>
      </w:r>
    </w:p>
    <w:p>
      <w:r>
        <w:t>公司名称: 四川成飞集成科技股份有限公司</w:t>
      </w:r>
    </w:p>
    <w:p>
      <w:r>
        <w:t>英文名称: Sichuan Chengfei Integration Technology Corp.Ltd.</w:t>
      </w:r>
    </w:p>
    <w:p>
      <w:r>
        <w:t>A股代码: 002190</w:t>
      </w:r>
    </w:p>
    <w:p>
      <w:r>
        <w:t>A股简称: 成飞集成</w:t>
      </w:r>
    </w:p>
    <w:p>
      <w:r>
        <w:t>A股扩位简称: --</w:t>
      </w:r>
    </w:p>
    <w:p>
      <w:r>
        <w:t>曾用名: 成飞集成→*ST集成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电气设备-其他电气设备-其他电气设备</w:t>
      </w:r>
    </w:p>
    <w:p>
      <w:r>
        <w:t>上市交易所: 深圳证券交易所</w:t>
      </w:r>
    </w:p>
    <w:p>
      <w:r>
        <w:t>所属证监会行业: 制造业-汽车制造业</w:t>
      </w:r>
    </w:p>
    <w:p>
      <w:r>
        <w:t>总经理: --</w:t>
      </w:r>
    </w:p>
    <w:p>
      <w:r>
        <w:t>法人代表: 石晓卿</w:t>
      </w:r>
    </w:p>
    <w:p>
      <w:r>
        <w:t>董秘: 程雁</w:t>
      </w:r>
    </w:p>
    <w:p>
      <w:r>
        <w:t>董事长: 石晓卿</w:t>
      </w:r>
    </w:p>
    <w:p>
      <w:r>
        <w:t>证券事务代表: 邹江川</w:t>
      </w:r>
    </w:p>
    <w:p>
      <w:r>
        <w:t>独立董事: 叶勇,陈斌波,王存斌</w:t>
      </w:r>
    </w:p>
    <w:p>
      <w:r>
        <w:t>联系电话: 028-87455333-6048,028-87455333-6021</w:t>
      </w:r>
    </w:p>
    <w:p>
      <w:r>
        <w:t>电子信箱: stock@cac-citc.cn</w:t>
      </w:r>
    </w:p>
    <w:p>
      <w:r>
        <w:t>传真: 028-87455111</w:t>
      </w:r>
    </w:p>
    <w:p>
      <w:r>
        <w:t>公司网址: www.cac-citc.com</w:t>
      </w:r>
    </w:p>
    <w:p>
      <w:r>
        <w:t>办公地址: 成都市青羊区日月大道二段666号附1号</w:t>
      </w:r>
    </w:p>
    <w:p>
      <w:r>
        <w:t>注册地址: 成都高新区高朋大道5号(创新服务中心)</w:t>
      </w:r>
    </w:p>
    <w:p>
      <w:r>
        <w:t>区域: 四川</w:t>
      </w:r>
    </w:p>
    <w:p>
      <w:r>
        <w:t>邮政编码: 610091</w:t>
      </w:r>
    </w:p>
    <w:p>
      <w:r>
        <w:t>注册资本(元): 3.587亿</w:t>
      </w:r>
    </w:p>
    <w:p>
      <w:r>
        <w:t>工商登记: 91510100725369155J</w:t>
      </w:r>
    </w:p>
    <w:p>
      <w:r>
        <w:t>雇员人数: 1445</w:t>
      </w:r>
    </w:p>
    <w:p>
      <w:r>
        <w:t>管理人员人数: 14</w:t>
      </w:r>
    </w:p>
    <w:p>
      <w:r>
        <w:t>律师事务所: 北京中伦(成都)律师事务所</w:t>
      </w:r>
    </w:p>
    <w:p>
      <w:r>
        <w:t>会计师事务所: 容诚会计师事务所(特殊普通合伙)</w:t>
      </w:r>
    </w:p>
    <w:p>
      <w:r>
        <w:t>公司简介: 四川成飞集成科技股份有限公司(以下简称"成飞集成")成立于2000年,是由中国航空工业集团有限公司控股的高科技股份有限公司。公司主要产品是中高档轿车侧围、顶盖、车门、翼子板等外覆盖件模具、航空数控零件制造和汽车零部件冲压。拥有安徽成飞集成瑞鹄模具有限公司,四川成飞集成吉文汽车零部件有限公司两家控股子公司,是一个跨区域的集团化上市公司。</w:t>
        <w:br/>
        <w:br/>
        <w:t xml:space="preserve">    截止2022年末,公司注册资本3.59亿元,总资产逾48亿元,总占地面积近18万平方米,员工1300余人。</w:t>
        <w:br/>
        <w:br/>
        <w:t xml:space="preserve">    成飞集成是中国汽车覆盖件模具重点骨干企业,国家高新技术企业,省级技术中心,在行业中拥有技术领先的优势。2007年首次公开发行股票并在深交所上市(股票代码:002190),成为国内汽车覆盖件模具行业的第一家上市公司。拥有在国内同行业中领先的管理水平和技术实力,在行业内率先引入国际先进的ERP软件,率先通过德国汽车工业联合会的VDA6.4质量认证,在模具设计、制造技术方面处于同行业领先地位。模具产品远销到美国、英国、德国等国家,成功为通用、福特、路虎、雷诺、沃尔沃、欧宝、奥迪等国际知名汽车制造商的新车型配套,并与国内所有知名汽车制造商均建立了良好的业务关系。</w:t>
      </w:r>
    </w:p>
    <w:p>
      <w:r>
        <w:t>经营范围: 许可项目:民用航空器零部件设计和生产;检验检测服务。(依法须经批准的项目,经相关部门批准后方可开展经营活动,具体经营项目以相关部门批准文件或许可证件为准)一般项目:模具制造;模具销售;机械零件、零部件加工;机械零件、零部件销售;金属表面处理及热处理加工;专用设备制造(不含许可类专业设备制造);技术服务、技术开发、技术咨询、技术交流、技术转让、技术推广;软件开发;货物进出口;技术进出口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国金证券有限责任公司</w:t>
      </w:r>
    </w:p>
    <w:p>
      <w:r>
        <w:t>主承销商: 国金证券有限责任公司</w:t>
      </w:r>
    </w:p>
    <w:p>
      <w:r>
        <w:t>成立日期: 2000-12-06</w:t>
      </w:r>
    </w:p>
    <w:p>
      <w:r>
        <w:t>上市日期: 2007-12-03</w:t>
      </w:r>
    </w:p>
    <w:p>
      <w:r>
        <w:t>发行市盈率(倍): 29.91</w:t>
      </w:r>
    </w:p>
    <w:p>
      <w:r>
        <w:t>网上发行日期: 2007-11-15</w:t>
      </w:r>
    </w:p>
    <w:p>
      <w:r>
        <w:t>发行方式: 网下询价配售</w:t>
      </w:r>
    </w:p>
    <w:p>
      <w:r>
        <w:t>每股面值(元): 1</w:t>
      </w:r>
    </w:p>
    <w:p>
      <w:r>
        <w:t>发行量(股): 2700万</w:t>
      </w:r>
    </w:p>
    <w:p>
      <w:r>
        <w:t>每股发行价(元): 9.90</w:t>
      </w:r>
    </w:p>
    <w:p>
      <w:r>
        <w:t>发行费用(元): 1602万</w:t>
      </w:r>
    </w:p>
    <w:p>
      <w:r>
        <w:t>发行总市值(元): 2.673亿</w:t>
      </w:r>
    </w:p>
    <w:p>
      <w:r>
        <w:t>募集资金净额(元): 2.513亿</w:t>
      </w:r>
    </w:p>
    <w:p>
      <w:r>
        <w:t>首日开盘价(元): 18.60</w:t>
      </w:r>
    </w:p>
    <w:p>
      <w:r>
        <w:t>首日收盘价(元): 18.50</w:t>
      </w:r>
    </w:p>
    <w:p>
      <w:r>
        <w:t>首日换手率: 72.99%</w:t>
      </w:r>
    </w:p>
    <w:p>
      <w:r>
        <w:t>首日最高价(元): 20.00</w:t>
      </w:r>
    </w:p>
    <w:p>
      <w:r>
        <w:t>网下配售中签率: 0.26%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