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振芯科技</w:t>
      </w:r>
    </w:p>
    <w:p>
      <w:pPr>
        <w:pStyle w:val="Heading2"/>
      </w:pPr>
      <w:r>
        <w:t>公司基本资料</w:t>
      </w:r>
    </w:p>
    <w:p>
      <w:r>
        <w:t>公司名称: 成都振芯科技股份有限公司</w:t>
      </w:r>
    </w:p>
    <w:p>
      <w:r>
        <w:t>英文名称: Chengdu CORPRO Technology Co.,Ltd.</w:t>
      </w:r>
    </w:p>
    <w:p>
      <w:r>
        <w:t>A股代码: 300101</w:t>
      </w:r>
    </w:p>
    <w:p>
      <w:r>
        <w:t>A股简称: 振芯科技</w:t>
      </w:r>
    </w:p>
    <w:p>
      <w:r>
        <w:t>A股扩位简称: --</w:t>
      </w:r>
    </w:p>
    <w:p>
      <w:r>
        <w:t>曾用名: 国腾电子</w:t>
      </w:r>
    </w:p>
    <w:p>
      <w:r>
        <w:t>B股代码: --</w:t>
      </w:r>
    </w:p>
    <w:p>
      <w:r>
        <w:t>B股简称: --</w:t>
      </w:r>
    </w:p>
    <w:p>
      <w:r>
        <w:t>H股代码: --</w:t>
      </w:r>
    </w:p>
    <w:p>
      <w:r>
        <w:t>H股简称: --</w:t>
      </w:r>
    </w:p>
    <w:p>
      <w:r>
        <w:t>证券类别: 深交所创业板A股</w:t>
      </w:r>
    </w:p>
    <w:p>
      <w:r>
        <w:t>所属东财行业: 国防与装备-航空航天装备-航天装备</w:t>
      </w:r>
    </w:p>
    <w:p>
      <w:r>
        <w:t>上市交易所: 深圳证券交易所</w:t>
      </w:r>
    </w:p>
    <w:p>
      <w:r>
        <w:t>所属证监会行业: 信息传输、软件和信息技术服务业-软件和信息技术服务业</w:t>
      </w:r>
    </w:p>
    <w:p>
      <w:r>
        <w:t>总经理: 杨国勇</w:t>
      </w:r>
    </w:p>
    <w:p>
      <w:r>
        <w:t>法人代表: 谢俊</w:t>
      </w:r>
    </w:p>
    <w:p>
      <w:r>
        <w:t>董秘: 陈思莉</w:t>
      </w:r>
    </w:p>
    <w:p>
      <w:r>
        <w:t>董事长: 谢俊</w:t>
      </w:r>
    </w:p>
    <w:p>
      <w:r>
        <w:t>证券事务代表: 张爽</w:t>
      </w:r>
    </w:p>
    <w:p>
      <w:r>
        <w:t>独立董事: 徐锐敏,吴越,江才</w:t>
      </w:r>
    </w:p>
    <w:p>
      <w:r>
        <w:t>联系电话: 028-65557625</w:t>
      </w:r>
    </w:p>
    <w:p>
      <w:r>
        <w:t>电子信箱: touzibu@corpro.cn</w:t>
      </w:r>
    </w:p>
    <w:p>
      <w:r>
        <w:t>传真: 028-65557627</w:t>
      </w:r>
    </w:p>
    <w:p>
      <w:r>
        <w:t>公司网址: www.corpro.cn</w:t>
      </w:r>
    </w:p>
    <w:p>
      <w:r>
        <w:t>办公地址: 四川省成都市高新区高朋大道1号</w:t>
      </w:r>
    </w:p>
    <w:p>
      <w:r>
        <w:t>注册地址: 四川省成都市高新区高朋大道1号</w:t>
      </w:r>
    </w:p>
    <w:p>
      <w:r>
        <w:t>区域: 四川</w:t>
      </w:r>
    </w:p>
    <w:p>
      <w:r>
        <w:t>邮政编码: 610041</w:t>
      </w:r>
    </w:p>
    <w:p>
      <w:r>
        <w:t>注册资本(元): 5.679亿</w:t>
      </w:r>
    </w:p>
    <w:p>
      <w:r>
        <w:t>工商登记: 915101007497238179</w:t>
      </w:r>
    </w:p>
    <w:p>
      <w:r>
        <w:t>雇员人数: 1067</w:t>
      </w:r>
    </w:p>
    <w:p>
      <w:r>
        <w:t>管理人员人数: 19</w:t>
      </w:r>
    </w:p>
    <w:p>
      <w:r>
        <w:t>律师事务所: 四川天润华邦律师事务所</w:t>
      </w:r>
    </w:p>
    <w:p>
      <w:r>
        <w:t>会计师事务所: 四川华信(集团)会计师事务所(特殊普通合伙)</w:t>
      </w:r>
    </w:p>
    <w:p>
      <w:r>
        <w:t>公司简介: 成都振芯科技股份有限公司是成立于2003年6月的国家级高新技术企业,于2010年8月在深圳创业板成功上市(股票代码:300101)。公司是入驻国家集成电路设计成都产业化基地的首批企业之一,是四川省第三批建设创新型培育企业、四川省集成电路设计产业技术创新联盟成员单位,也是航空、船舶等国有大型科技工业企业的电子元器件配套定点单位,通过了GB/T19001-2008idtISO9001:2008质量体系认证。公司多年来致力于围绕北斗卫星导航应用的“元器件-终端-系统”产业链提供产品和服务,拥有北斗分理级和终端级的民用运营服务资质,被列为国家重点支持的北斗系列终端产业化基地。主要产品包括北斗卫星导航应用关键元器件、高性能集成电路、北斗卫星导航终端及北斗卫星导航定位应用系统。经过多年的拼搏,公司已发展成为国内综合实力最强、产品系列最全、技术水平领先的北斗关键元器件研发和生产企业之一,自主研制生产的7大类40余种北斗卫星导航应用终端已广泛应用于国防、地质、电力、交通运输、公共安全、通信、水利、林业等专业应用领域。公司拥有视频图像领域雄厚的技术实力,以“视频监控-智能安防”为发展战略,致力于为国内安防监控行业的用户、集成商和渠道商提供全面专业的系统产品、整体解决方案及本地化服务。公司以“高清智能、行业应用、联网扩容”为核心的网络智能安防监控总体解决方案及各种产品已广泛应用于公共安全、金融、交通、能源、城市管理、行政监管、厂矿企业、医院学校、楼宇园区、电信通讯等多个领域。</w:t>
      </w:r>
    </w:p>
    <w:p>
      <w:r>
        <w:t>经营范围: 设计、开发、销售集成电路、微波组件及相关电子器件;设计、开发、生产(另设分支机构或另择经营场地经营)、销售卫星导航应用设备、软件和相关电子应用产品;设计、开发、生产(另设分支机构或另择经营场地经营)、销售监控电视摄像机;软件开发、信息系统集成、工程设计、施工和相关技术服务、技术转让及信息咨询;数据处理、存储服务;货物进出口,技术进出口;电子与智能化工程设计、施工(凭资质证书从事经营);电信业务代理(凭电信业务代理合同在合同期内经营);(依法须经批准的项目,经相关部门批准后方可开展经营活动)。</w:t>
      </w:r>
    </w:p>
    <w:p>
      <w:pPr>
        <w:pStyle w:val="Heading2"/>
      </w:pPr>
      <w:r>
        <w:t>发行相关信息</w:t>
      </w:r>
    </w:p>
    <w:p>
      <w:r>
        <w:t>保荐机构: 中信建投证券有限责任公司</w:t>
      </w:r>
    </w:p>
    <w:p>
      <w:r>
        <w:t>主承销商: 中信建投证券有限责任公司</w:t>
      </w:r>
    </w:p>
    <w:p>
      <w:r>
        <w:t>成立日期: 2003-06-12</w:t>
      </w:r>
    </w:p>
    <w:p>
      <w:r>
        <w:t>上市日期: 2010-08-06</w:t>
      </w:r>
    </w:p>
    <w:p>
      <w:r>
        <w:t>发行市盈率(倍): 59.26</w:t>
      </w:r>
    </w:p>
    <w:p>
      <w:r>
        <w:t>网上发行日期: 2010-07-26</w:t>
      </w:r>
    </w:p>
    <w:p>
      <w:r>
        <w:t>发行方式: 网下询价配售</w:t>
      </w:r>
    </w:p>
    <w:p>
      <w:r>
        <w:t>每股面值(元): 1</w:t>
      </w:r>
    </w:p>
    <w:p>
      <w:r>
        <w:t>发行量(股): 1750万</w:t>
      </w:r>
    </w:p>
    <w:p>
      <w:r>
        <w:t>每股发行价(元): 32.00</w:t>
      </w:r>
    </w:p>
    <w:p>
      <w:r>
        <w:t>发行费用(元): 4085万</w:t>
      </w:r>
    </w:p>
    <w:p>
      <w:r>
        <w:t>发行总市值(元): 5.600亿</w:t>
      </w:r>
    </w:p>
    <w:p>
      <w:r>
        <w:t>募集资金净额(元): 5.191亿</w:t>
      </w:r>
    </w:p>
    <w:p>
      <w:r>
        <w:t>首日开盘价(元): 63.00</w:t>
      </w:r>
    </w:p>
    <w:p>
      <w:r>
        <w:t>首日收盘价(元): 69.91</w:t>
      </w:r>
    </w:p>
    <w:p>
      <w:r>
        <w:t>首日换手率: 87.83%</w:t>
      </w:r>
    </w:p>
    <w:p>
      <w:r>
        <w:t>首日最高价(元): 70.15</w:t>
      </w:r>
    </w:p>
    <w:p>
      <w:r>
        <w:t>网下配售中签率: 0.85%</w:t>
      </w:r>
    </w:p>
    <w:p>
      <w:r>
        <w:t>定价中签率: 0.38%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