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新筑股份</w:t>
      </w:r>
    </w:p>
    <w:p>
      <w:pPr>
        <w:pStyle w:val="Heading2"/>
      </w:pPr>
      <w:r>
        <w:t>公司基本资料</w:t>
      </w:r>
    </w:p>
    <w:p>
      <w:r>
        <w:t>公司名称: 成都市新筑路桥机械股份有限公司</w:t>
      </w:r>
    </w:p>
    <w:p>
      <w:r>
        <w:t>英文名称: Chengdu Xinzhu Road&amp;Bridge Machinery Co.,Ltd</w:t>
      </w:r>
    </w:p>
    <w:p>
      <w:r>
        <w:t>A股代码: 002480</w:t>
      </w:r>
    </w:p>
    <w:p>
      <w:r>
        <w:t>A股简称: 新筑股份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交运设备-轨道交通设备-轨道交通设备</w:t>
      </w:r>
    </w:p>
    <w:p>
      <w:r>
        <w:t>上市交易所: 深圳证券交易所</w:t>
      </w:r>
    </w:p>
    <w:p>
      <w:r>
        <w:t>所属证监会行业: 制造业-通用设备制造业</w:t>
      </w:r>
    </w:p>
    <w:p>
      <w:r>
        <w:t>总经理: 夏玉龙</w:t>
      </w:r>
    </w:p>
    <w:p>
      <w:r>
        <w:t>法人代表: 肖光辉</w:t>
      </w:r>
    </w:p>
    <w:p>
      <w:r>
        <w:t>董秘: 张杨</w:t>
      </w:r>
    </w:p>
    <w:p>
      <w:r>
        <w:t>董事长: 肖光辉</w:t>
      </w:r>
    </w:p>
    <w:p>
      <w:r>
        <w:t>证券事务代表: 简杰</w:t>
      </w:r>
    </w:p>
    <w:p>
      <w:r>
        <w:t>独立董事: 罗哲,江涛,罗珉</w:t>
      </w:r>
    </w:p>
    <w:p>
      <w:r>
        <w:t>联系电话: 028-82556968,028-82550671</w:t>
      </w:r>
    </w:p>
    <w:p>
      <w:r>
        <w:t>电子信箱: vendition@xinzhu.com</w:t>
      </w:r>
    </w:p>
    <w:p>
      <w:r>
        <w:t>传真: 028-82555955</w:t>
      </w:r>
    </w:p>
    <w:p>
      <w:r>
        <w:t>公司网址: www.xinzhu.com</w:t>
      </w:r>
    </w:p>
    <w:p>
      <w:r>
        <w:t>办公地址: 四川省成都市新津工业园区</w:t>
      </w:r>
    </w:p>
    <w:p>
      <w:r>
        <w:t>注册地址: 成都市四川新津工业园区</w:t>
      </w:r>
    </w:p>
    <w:p>
      <w:r>
        <w:t>区域: 四川</w:t>
      </w:r>
    </w:p>
    <w:p>
      <w:r>
        <w:t>邮政编码: 611430</w:t>
      </w:r>
    </w:p>
    <w:p>
      <w:r>
        <w:t>注册资本(元): 7.692亿</w:t>
      </w:r>
    </w:p>
    <w:p>
      <w:r>
        <w:t>工商登记: 91510000725526042X</w:t>
      </w:r>
    </w:p>
    <w:p>
      <w:r>
        <w:t>雇员人数: 1311</w:t>
      </w:r>
    </w:p>
    <w:p>
      <w:r>
        <w:t>管理人员人数: 18</w:t>
      </w:r>
    </w:p>
    <w:p>
      <w:r>
        <w:t>律师事务所: 北京金杜(成都)律师事务所</w:t>
      </w:r>
    </w:p>
    <w:p>
      <w:r>
        <w:t>会计师事务所: 上会会计师事务所(特殊普通合伙)</w:t>
      </w:r>
    </w:p>
    <w:p>
      <w:r>
        <w:t>公司简介: 成都市新筑路桥机械股份有限公司(以下简称“公司”)成立于2001年,总部位于四川新津工业园区,于2010年在深圳证券交易所上市,股票代码002480。2018年8月,四川省属国企——四川发展(控股)有限责任公司〔以下简称“四川发展(控股)”〕成为公司控股股东,新筑股份成为一家混合所有制上市企业。公司已发展成为四川省轨道交通高端装备制造业地方头部企业,成都市重点培育的新制式轨道交通地方领军企业。2018年8月成为四川发展控股的混改上市企业,是四川省国资委重点打造的国企混改标杆企业。2019年进入国务院国资委国企改革“双百行动”企业名单;2020年再度荣获“国家高新技术企业”荣誉称号。2022年8月,按照控股股东四川发展的战略部署,已完成集团旗下四川晟天新能源发展有限公司(以下简称“晟天新能源”)并购工作,切入光伏发电行业,拥有了公共交通功能构件、轨道交通和新能源光伏发电三大产业,形成了先进制造+光伏发电的业务格局。公司建有“综合交通运输智能化国家地方联合工程实验室”、“四川省城市轨道交通车辆系统集成工程实验室”等11个国家、省、市级技术平台;先后主持或参与了30余项国家、行业和地方标准制定,拥有457项专利技术,其中发明专利技术113余项。公司作为四川省先进装备制造业地方龙头企业,积累沉淀了先进装备制造技术、团队方面的核心优势,结合控股股东四川发展(控股)在整合资源、业务拓展、资金获取、推动国有资本布局结构调整、引领战略性新兴产业发展等方面具有的独特优势,公司确立“先进制造+光伏”的业务定位。“十四五”期间,公司将大力发展先进装备制造业务和新能源电站运营业务,坚持“自主开发与投资并购”战略,坚持规模、速度与质量、效益相统一原则,致力于将公司打造成为国内一流、西部领先的高端装备制造商和光伏电站运营商。</w:t>
      </w:r>
    </w:p>
    <w:p>
      <w:r>
        <w:t>经营范围: 金属桥梁结构及桥梁零件的设计制造;建筑用金属结构、构件的设计制造;橡胶制品的设计制造;铁路机车车辆配件和铁路专用设备及器材、配件的设计制造;环境污染防治专用设备的设计制造;工程设计、工程咨询;环保工程、钢结构工程;交通器材及其他交通运输设备、交通安全及管制专用设备、水资源专用机械制造;商品批发与零售;进出口业;特种专业工程专业承包;城市低地板车辆及配件的设计、制造,租赁及相关领域的技术服务;合成材料制造;塑料制品业;石膏、水泥制品及类似制品制造;输配电及控制设备制造;软件和信息技术服务业;市政公用工程总承包施工;公路工程总承包施工;建筑机电安装工程专业承包施工;公路交通工程专业承包施工;城市轨道交通运输;铁路工程、隧道工程和桥梁工程;铁路铺轨架梁工程。(以上项目不含前置许可项目,后置许可项目凭许可证或审批文件经营)。</w:t>
      </w:r>
    </w:p>
    <w:p>
      <w:pPr>
        <w:pStyle w:val="Heading2"/>
      </w:pPr>
      <w:r>
        <w:t>发行相关信息</w:t>
      </w:r>
    </w:p>
    <w:p>
      <w:r>
        <w:t>保荐机构: 广发证券股份有限公司</w:t>
      </w:r>
    </w:p>
    <w:p>
      <w:r>
        <w:t>主承销商: 广发证券股份有限公司</w:t>
      </w:r>
    </w:p>
    <w:p>
      <w:r>
        <w:t>成立日期: 2001-03-28</w:t>
      </w:r>
    </w:p>
    <w:p>
      <w:r>
        <w:t>上市日期: 2010-09-21</w:t>
      </w:r>
    </w:p>
    <w:p>
      <w:r>
        <w:t>发行市盈率(倍): 55.95</w:t>
      </w:r>
    </w:p>
    <w:p>
      <w:r>
        <w:t>网上发行日期: 2010-09-08</w:t>
      </w:r>
    </w:p>
    <w:p>
      <w:r>
        <w:t>发行方式: 网下询价配售</w:t>
      </w:r>
    </w:p>
    <w:p>
      <w:r>
        <w:t>每股面值(元): 1</w:t>
      </w:r>
    </w:p>
    <w:p>
      <w:r>
        <w:t>发行量(股): 3500万</w:t>
      </w:r>
    </w:p>
    <w:p>
      <w:r>
        <w:t>每股发行价(元): 38.00</w:t>
      </w:r>
    </w:p>
    <w:p>
      <w:r>
        <w:t>发行费用(元): 5203万</w:t>
      </w:r>
    </w:p>
    <w:p>
      <w:r>
        <w:t>发行总市值(元): 13.30亿</w:t>
      </w:r>
    </w:p>
    <w:p>
      <w:r>
        <w:t>募集资金净额(元): 12.78亿</w:t>
      </w:r>
    </w:p>
    <w:p>
      <w:r>
        <w:t>首日开盘价(元): 39.89</w:t>
      </w:r>
    </w:p>
    <w:p>
      <w:r>
        <w:t>首日收盘价(元): 45.19</w:t>
      </w:r>
    </w:p>
    <w:p>
      <w:r>
        <w:t>首日换手率: 82.27%</w:t>
      </w:r>
    </w:p>
    <w:p>
      <w:r>
        <w:t>首日最高价(元): 47.58</w:t>
      </w:r>
    </w:p>
    <w:p>
      <w:r>
        <w:t>网下配售中签率: 1.52%</w:t>
      </w:r>
    </w:p>
    <w:p>
      <w:r>
        <w:t>定价中签率: 1.02%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