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新金路</w:t>
      </w:r>
    </w:p>
    <w:p>
      <w:pPr>
        <w:pStyle w:val="Heading2"/>
      </w:pPr>
      <w:r>
        <w:t>公司基本资料</w:t>
      </w:r>
    </w:p>
    <w:p>
      <w:r>
        <w:t>公司名称: 四川新金路集团股份有限公司</w:t>
      </w:r>
    </w:p>
    <w:p>
      <w:r>
        <w:t>英文名称: SICHUAN XINJINLU GROUP CO.,LTD</w:t>
      </w:r>
    </w:p>
    <w:p>
      <w:r>
        <w:t>A股代码: 000510</w:t>
      </w:r>
    </w:p>
    <w:p>
      <w:r>
        <w:t>A股简称: 新金路</w:t>
      </w:r>
    </w:p>
    <w:p>
      <w:r>
        <w:t>A股扩位简称: --</w:t>
      </w:r>
    </w:p>
    <w:p>
      <w:r>
        <w:t>曾用名: 川金路A→金路集团→G金路→金路集团→*ST金路→金路集团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基础化工-化学原料-氯碱</w:t>
      </w:r>
    </w:p>
    <w:p>
      <w:r>
        <w:t>上市交易所: 深圳证券交易所</w:t>
      </w:r>
    </w:p>
    <w:p>
      <w:r>
        <w:t>所属证监会行业: 制造业-化学原料和化学制品制造业</w:t>
      </w:r>
    </w:p>
    <w:p>
      <w:r>
        <w:t>总经理: 彭朗</w:t>
      </w:r>
    </w:p>
    <w:p>
      <w:r>
        <w:t>法人代表: 刘江东</w:t>
      </w:r>
    </w:p>
    <w:p>
      <w:r>
        <w:t>董秘: 张振亚</w:t>
      </w:r>
    </w:p>
    <w:p>
      <w:r>
        <w:t>董事长: 刘江东</w:t>
      </w:r>
    </w:p>
    <w:p>
      <w:r>
        <w:t>证券事务代表: 廖荣</w:t>
      </w:r>
    </w:p>
    <w:p>
      <w:r>
        <w:t>独立董事: 罗宏,马天平,曹昱</w:t>
      </w:r>
    </w:p>
    <w:p>
      <w:r>
        <w:t>联系电话: 0838-2207936,0838-2301092</w:t>
      </w:r>
    </w:p>
    <w:p>
      <w:r>
        <w:t>电子信箱: scjinlugroup@163.com</w:t>
      </w:r>
    </w:p>
    <w:p>
      <w:r>
        <w:t>传真: 0838-2207936</w:t>
      </w:r>
    </w:p>
    <w:p>
      <w:r>
        <w:t>公司网址: www.xjinlu.cn</w:t>
      </w:r>
    </w:p>
    <w:p>
      <w:r>
        <w:t>办公地址: 四川省德阳市泰山南路二段733号银鑫·五洲广场一期21栋22-23层</w:t>
      </w:r>
    </w:p>
    <w:p>
      <w:r>
        <w:t>注册地址: 四川省德阳市泰山南路二段733号银鑫·五洲广场一期21栋22-23层</w:t>
      </w:r>
    </w:p>
    <w:p>
      <w:r>
        <w:t>区域: 四川</w:t>
      </w:r>
    </w:p>
    <w:p>
      <w:r>
        <w:t>邮政编码: 618000</w:t>
      </w:r>
    </w:p>
    <w:p>
      <w:r>
        <w:t>注册资本(元): 6.485亿</w:t>
      </w:r>
    </w:p>
    <w:p>
      <w:r>
        <w:t>工商登记: 91510600205111863C</w:t>
      </w:r>
    </w:p>
    <w:p>
      <w:r>
        <w:t>雇员人数: 2130</w:t>
      </w:r>
    </w:p>
    <w:p>
      <w:r>
        <w:t>管理人员人数: 18</w:t>
      </w:r>
    </w:p>
    <w:p>
      <w:r>
        <w:t>律师事务所: 四川商信律师事务所</w:t>
      </w:r>
    </w:p>
    <w:p>
      <w:r>
        <w:t>会计师事务所: 希格玛会计师事务所(特殊普通合伙)</w:t>
      </w:r>
    </w:p>
    <w:p>
      <w:r>
        <w:t>公司简介: 四川新金路集团股份有限公司的前身为四川省树脂总厂,1993年5月7日,公司股票在深圳证券交易所上市交易,股票简称:新金路,股票代码:000510。历经五十余年风雨兼程和持续发展,新金路集团现已逐步形成以绿色氯碱化工为核心主业,矿产资源开发等多元化业务协同发展的产业结构。年营收30亿元,年均利税3亿元以上,产业集化工、矿产资源开发、仓储、物流、贸易等于一体的大型企业集团。旗下拥有11家全资及控股子公司,产品广泛应用于化工、矿业、农业、新能源、建材、房地产等多个领域。2003年,集团被认定为四川省省级技术中心,并建有院士专家工作站,拥有强大的技术研发团队。斩获了“全国五一劳动奖状”“2021年度中国新经济最具投资价值上市公司”,连续六年上榜“中国石油和化工企业500强”,是“四川省诚信民营企业”“2021年度德阳市纳税十强民营企业”,入围“2022年四川民营企业100强”“2023年四川制造业企业100强”“德阳市50强企业”和“德阳市非公企业50强”榜单。目前,新金路集团正加快推进绿色氯碱化工、矿产资源开发等版块融合发展。持续夯实绿色氯碱化工主业,延伸新材料等高附加值产业链,以“蓝鲸倍增计划”为契机,实现树脂差异化、碱产品高端化、转型升级项目规模化,做优做强氯碱主业,形成清洁、高效、绿色的氯碱循环经济产业链。同时,依托栗木矿田丰富的矿产资源,进行全方位科学高效开发利用,打造以钽铌为特色,锡钨为核心,锂铷为潜力,非金属共伴生矿物协同开发的集约化国家级矿产品加工集散基地。展望未来,我们将以化工、矿产事业版块架构集团发展盛景,推动双轮驱动发展模式,坚持科技创新,高质赋能,强化产品、产业结构调整升级力度,推动产业与资本、产品与研发的良性互动,坚定不移走发展新质生产力、推动集团高质量发展之路,力争实现营收百亿的战略规划,把新金路建成具有极强核心竞争力、高质量可持续发展的上市公司,矢志打造“科技创新型、绿色低碳型、安全环保型”百年新金路、百亿新金路,持续为客户、股东、社会创造更大价值!</w:t>
      </w:r>
    </w:p>
    <w:p>
      <w:r>
        <w:t>经营范围: 一般项目:工程塑料及合成树脂销售;合成材料销售;塑料制品销售;金属工具销售;皮革制品销售;针纺织品销售;服装服饰批发;服装服饰零售;化工产品销售(不含许可类化工产品);日用百货销售;五金产品零售;五金产品批发;机械电气设备销售;机械设备销售;建筑材料销售;汽车零配件批发;汽车零配件零售;汽车销售;新能源汽车整车销售;日用电器修理;计算机软硬件及辅助设备批发;通讯设备销售;信息系统集成服务;通信设备制造;煤炭及制品销售;金属矿石销售;企业管理;其他文化艺术经纪代理;人力资源服务(不含职业中介活动、劳务派遣服务);普通机械设备安装服务。(除依法须经批准的项目外,凭营业执照依法自主开展经营活动)许可项目:危险化学品经营;农药零售;旅游业务。(依法须经批准的项目,经相关部门批准后方可开展经营活动,具体经营项目以相关部门批准文件或许可证件为准)</w:t>
      </w:r>
    </w:p>
    <w:p>
      <w:pPr>
        <w:pStyle w:val="Heading2"/>
      </w:pPr>
      <w:r>
        <w:t>发行相关信息</w:t>
      </w:r>
    </w:p>
    <w:p>
      <w:r>
        <w:t>保荐机构: --</w:t>
      </w:r>
    </w:p>
    <w:p>
      <w:r>
        <w:t>主承销商: --</w:t>
      </w:r>
    </w:p>
    <w:p>
      <w:r>
        <w:t>成立日期: 1992-04-18</w:t>
      </w:r>
    </w:p>
    <w:p>
      <w:r>
        <w:t>上市日期: 1993-05-07</w:t>
      </w:r>
    </w:p>
    <w:p>
      <w:r>
        <w:t>发行市盈率(倍): --</w:t>
      </w:r>
    </w:p>
    <w:p>
      <w:r>
        <w:t>网上发行日期: 1989-09-20</w:t>
      </w:r>
    </w:p>
    <w:p>
      <w:r>
        <w:t>发行方式: 其他发行方式</w:t>
      </w:r>
    </w:p>
    <w:p>
      <w:r>
        <w:t>每股面值(元): 1</w:t>
      </w:r>
    </w:p>
    <w:p>
      <w:r>
        <w:t>发行量(股): 2000万</w:t>
      </w:r>
    </w:p>
    <w:p>
      <w:r>
        <w:t>每股发行价(元): 3.20</w:t>
      </w:r>
    </w:p>
    <w:p>
      <w:r>
        <w:t>发行费用(元): --</w:t>
      </w:r>
    </w:p>
    <w:p>
      <w:r>
        <w:t>发行总市值(元): 6400万</w:t>
      </w:r>
    </w:p>
    <w:p>
      <w:r>
        <w:t>募集资金净额(元): --</w:t>
      </w:r>
    </w:p>
    <w:p>
      <w:r>
        <w:t>首日开盘价(元): 17.90</w:t>
      </w:r>
    </w:p>
    <w:p>
      <w:r>
        <w:t>首日收盘价(元): 17.20</w:t>
      </w:r>
    </w:p>
    <w:p>
      <w:r>
        <w:t>首日换手率: 2.13%</w:t>
      </w:r>
    </w:p>
    <w:p>
      <w:r>
        <w:t>首日最高价(元): 17.90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