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新铝时代</w:t>
      </w:r>
    </w:p>
    <w:p>
      <w:pPr>
        <w:pStyle w:val="Heading2"/>
      </w:pPr>
      <w:r>
        <w:t>公司基本资料</w:t>
      </w:r>
    </w:p>
    <w:p>
      <w:r>
        <w:t>公司名称: 重庆新铝时代科技股份有限公司</w:t>
      </w:r>
    </w:p>
    <w:p>
      <w:r>
        <w:t>英文名称: Alnera Aluminium Co., Ltd.</w:t>
      </w:r>
    </w:p>
    <w:p>
      <w:r>
        <w:t>A股代码: 301613</w:t>
      </w:r>
    </w:p>
    <w:p>
      <w:r>
        <w:t>A股简称: 新铝时代</w:t>
      </w:r>
    </w:p>
    <w:p>
      <w:r>
        <w:t>A股扩位简称: --</w:t>
      </w:r>
    </w:p>
    <w:p>
      <w:r>
        <w:t>曾用名: --</w:t>
      </w:r>
    </w:p>
    <w:p>
      <w:r>
        <w:t>B股代码: --</w:t>
      </w:r>
    </w:p>
    <w:p>
      <w:r>
        <w:t>B股简称: --</w:t>
      </w:r>
    </w:p>
    <w:p>
      <w:r>
        <w:t>H股代码: --</w:t>
      </w:r>
    </w:p>
    <w:p>
      <w:r>
        <w:t>H股简称: --</w:t>
      </w:r>
    </w:p>
    <w:p>
      <w:r>
        <w:t>证券类别: 深交所创业板A股</w:t>
      </w:r>
    </w:p>
    <w:p>
      <w:r>
        <w:t>所属东财行业: 交运设备-汽车-汽车零部件</w:t>
      </w:r>
    </w:p>
    <w:p>
      <w:r>
        <w:t>上市交易所: 深圳证券交易所</w:t>
      </w:r>
    </w:p>
    <w:p>
      <w:r>
        <w:t>所属证监会行业: 制造业-汽车制造业</w:t>
      </w:r>
    </w:p>
    <w:p>
      <w:r>
        <w:t>总经理: 何峰(代)</w:t>
      </w:r>
    </w:p>
    <w:p>
      <w:r>
        <w:t>法人代表: 何峰</w:t>
      </w:r>
    </w:p>
    <w:p>
      <w:r>
        <w:t>董秘: 周子彦</w:t>
      </w:r>
    </w:p>
    <w:p>
      <w:r>
        <w:t>董事长: 何峰</w:t>
      </w:r>
    </w:p>
    <w:p>
      <w:r>
        <w:t>证券事务代表: --</w:t>
      </w:r>
    </w:p>
    <w:p>
      <w:r>
        <w:t>独立董事: 崔坚,韩剑学,娄燕</w:t>
      </w:r>
    </w:p>
    <w:p>
      <w:r>
        <w:t>联系电话: 023-71462254</w:t>
      </w:r>
    </w:p>
    <w:p>
      <w:r>
        <w:t>电子信箱: ir@alnera.cn</w:t>
      </w:r>
    </w:p>
    <w:p>
      <w:r>
        <w:t>传真: 023-71462254</w:t>
      </w:r>
    </w:p>
    <w:p>
      <w:r>
        <w:t>公司网址: www.alnera.cn</w:t>
      </w:r>
    </w:p>
    <w:p>
      <w:r>
        <w:t>办公地址: --</w:t>
      </w:r>
    </w:p>
    <w:p>
      <w:r>
        <w:t>注册地址: 重庆市涪陵区鹤凤大道43号工作园区标准化厂房A区2号厂房</w:t>
      </w:r>
    </w:p>
    <w:p>
      <w:r>
        <w:t>区域: 重庆</w:t>
      </w:r>
    </w:p>
    <w:p>
      <w:r>
        <w:t>邮政编码: --</w:t>
      </w:r>
    </w:p>
    <w:p>
      <w:r>
        <w:t>注册资本(元): 9589万</w:t>
      </w:r>
    </w:p>
    <w:p>
      <w:r>
        <w:t>工商登记: 91500102MA5U449F60</w:t>
      </w:r>
    </w:p>
    <w:p>
      <w:r>
        <w:t>雇员人数: 2641</w:t>
      </w:r>
    </w:p>
    <w:p>
      <w:r>
        <w:t>管理人员人数: 14</w:t>
      </w:r>
    </w:p>
    <w:p>
      <w:r>
        <w:t>律师事务所: 北京市中伦律师事务所</w:t>
      </w:r>
    </w:p>
    <w:p>
      <w:r>
        <w:t>会计师事务所: 立信会计师事务所(特殊普通合伙)</w:t>
      </w:r>
    </w:p>
    <w:p>
      <w:r>
        <w:t>公司简介: 重庆新铝时代科技股份有限公司主要从事新能源汽车电池系统铝合金零部件的研发、生产和销售,拥有铝合金材料研发、产品设计、先进生产工艺以及规模化生产的完整业务体系。公司主要产品为电池盒箱体,是新能源汽车动力电池系统的关键组成部分。</w:t>
        <w:br/>
        <w:br/>
        <w:t xml:space="preserve">    依靠卓越的研发设计实力、优异的产品性能、完善的配套服务体系和及时的产品交付能力,公司获得了良好的行业认知度,积累了广泛的客户资源。目前,作为国内最早向比亚迪批量供应通过铝合金挤压工艺及FSW等新型工艺制造的电池盒箱体生产企业,公司已成为比亚迪新能源汽车电池盒箱体的第一大供应商,建立了长期稳定的合作关系,并逐步开拓了吉利汽车、金康能源、欣旺达、国轩高科等新能源产业下游整车厂商和动力电池厂商。目前,公司正在进行蜂巢能源、比亚迪丰田的认证测试。</w:t>
      </w:r>
    </w:p>
    <w:p>
      <w:r>
        <w:t>经营范围: 一般项目:技术服务、技术开发、技术交流、技术转让、技术推广,生产、销售:铝材、铝合金材、金属材料、汽车配件;货物进出口。(除依法须经批准的项目外,凭营业执照依法自主开展经营活动)</w:t>
      </w:r>
    </w:p>
    <w:p>
      <w:pPr>
        <w:pStyle w:val="Heading2"/>
      </w:pPr>
      <w:r>
        <w:t>发行相关信息</w:t>
      </w:r>
    </w:p>
    <w:p>
      <w:r>
        <w:t>保荐机构: 中信证券股份有限公司</w:t>
      </w:r>
    </w:p>
    <w:p>
      <w:r>
        <w:t>主承销商: 中信证券股份有限公司</w:t>
      </w:r>
    </w:p>
    <w:p>
      <w:r>
        <w:t>成立日期: 2015-12-18</w:t>
      </w:r>
    </w:p>
    <w:p>
      <w:r>
        <w:t>上市日期: 2024-10-25</w:t>
      </w:r>
    </w:p>
    <w:p>
      <w:r>
        <w:t>发行市盈率(倍): 14.57</w:t>
      </w:r>
    </w:p>
    <w:p>
      <w:r>
        <w:t>网上发行日期: 2024-10-16</w:t>
      </w:r>
    </w:p>
    <w:p>
      <w:r>
        <w:t>发行方式: 网下询价配售,网上定价发行,市值申购</w:t>
      </w:r>
    </w:p>
    <w:p>
      <w:r>
        <w:t>每股面值(元): 1</w:t>
      </w:r>
    </w:p>
    <w:p>
      <w:r>
        <w:t>发行量(股): 2397万</w:t>
      </w:r>
    </w:p>
    <w:p>
      <w:r>
        <w:t>每股发行价(元): 27.70</w:t>
      </w:r>
    </w:p>
    <w:p>
      <w:r>
        <w:t>发行费用(元): 7489万</w:t>
      </w:r>
    </w:p>
    <w:p>
      <w:r>
        <w:t>发行总市值(元): 6.641亿</w:t>
      </w:r>
    </w:p>
    <w:p>
      <w:r>
        <w:t>募集资金净额(元): 5.892亿</w:t>
      </w:r>
    </w:p>
    <w:p>
      <w:r>
        <w:t>首日开盘价(元): 128.00</w:t>
      </w:r>
    </w:p>
    <w:p>
      <w:r>
        <w:t>首日收盘价(元): 117.28</w:t>
      </w:r>
    </w:p>
    <w:p>
      <w:r>
        <w:t>首日换手率: 80.93%</w:t>
      </w:r>
    </w:p>
    <w:p>
      <w:r>
        <w:t>首日最高价(元): 160.00</w:t>
      </w:r>
    </w:p>
    <w:p>
      <w:r>
        <w:t>网下配售中签率: 0.03%</w:t>
      </w:r>
    </w:p>
    <w:p>
      <w:r>
        <w:t>定价中签率: 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