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智飞生物</w:t>
      </w:r>
    </w:p>
    <w:p>
      <w:pPr>
        <w:pStyle w:val="Heading2"/>
      </w:pPr>
      <w:r>
        <w:t>公司基本资料</w:t>
      </w:r>
    </w:p>
    <w:p>
      <w:r>
        <w:t>公司名称: 重庆智飞生物制品股份有限公司</w:t>
      </w:r>
    </w:p>
    <w:p>
      <w:r>
        <w:t>英文名称: Chongqing Zhifei Biological Products Co.,Ltd.</w:t>
      </w:r>
    </w:p>
    <w:p>
      <w:r>
        <w:t>A股代码: 300122</w:t>
      </w:r>
    </w:p>
    <w:p>
      <w:r>
        <w:t>A股简称: 智飞生物</w:t>
      </w:r>
    </w:p>
    <w:p>
      <w:r>
        <w:t>A股扩位简称: --</w:t>
      </w:r>
    </w:p>
    <w:p>
      <w:r>
        <w:t>曾用名: --</w:t>
      </w:r>
    </w:p>
    <w:p>
      <w:r>
        <w:t>B股代码: --</w:t>
      </w:r>
    </w:p>
    <w:p>
      <w:r>
        <w:t>B股简称: --</w:t>
      </w:r>
    </w:p>
    <w:p>
      <w:r>
        <w:t>H股代码: --</w:t>
      </w:r>
    </w:p>
    <w:p>
      <w:r>
        <w:t>H股简称: --</w:t>
      </w:r>
    </w:p>
    <w:p>
      <w:r>
        <w:t>证券类别: 深交所创业板A股</w:t>
      </w:r>
    </w:p>
    <w:p>
      <w:r>
        <w:t>所属东财行业: 医药生物-生物医药-生物医药</w:t>
      </w:r>
    </w:p>
    <w:p>
      <w:r>
        <w:t>上市交易所: 深圳证券交易所</w:t>
      </w:r>
    </w:p>
    <w:p>
      <w:r>
        <w:t>所属证监会行业: 制造业-医药制造业</w:t>
      </w:r>
    </w:p>
    <w:p>
      <w:r>
        <w:t>总经理: 蒋凌峰</w:t>
      </w:r>
    </w:p>
    <w:p>
      <w:r>
        <w:t>法人代表: 蒋仁生</w:t>
      </w:r>
    </w:p>
    <w:p>
      <w:r>
        <w:t>董秘: 秦菲</w:t>
      </w:r>
    </w:p>
    <w:p>
      <w:r>
        <w:t>董事长: 蒋仁生</w:t>
      </w:r>
    </w:p>
    <w:p>
      <w:r>
        <w:t>证券事务代表: 何月明</w:t>
      </w:r>
    </w:p>
    <w:p>
      <w:r>
        <w:t>独立董事: 龚涛,袁林,章新蓉</w:t>
      </w:r>
    </w:p>
    <w:p>
      <w:r>
        <w:t>联系电话: 023-86358685,023-86358226</w:t>
      </w:r>
    </w:p>
    <w:p>
      <w:r>
        <w:t>电子信箱: IRM@zhifeishengwu.com</w:t>
      </w:r>
    </w:p>
    <w:p>
      <w:r>
        <w:t>传真: 023-86358226</w:t>
      </w:r>
    </w:p>
    <w:p>
      <w:r>
        <w:t>公司网址: www.zhifeishengwu.com</w:t>
      </w:r>
    </w:p>
    <w:p>
      <w:r>
        <w:t>办公地址: 重庆市江北区庆云路1号50层</w:t>
      </w:r>
    </w:p>
    <w:p>
      <w:r>
        <w:t>注册地址: 重庆市江北区庆云路1号50层</w:t>
      </w:r>
    </w:p>
    <w:p>
      <w:r>
        <w:t>区域: 重庆</w:t>
      </w:r>
    </w:p>
    <w:p>
      <w:r>
        <w:t>邮政编码: 400020</w:t>
      </w:r>
    </w:p>
    <w:p>
      <w:r>
        <w:t>注册资本(元): 23.94亿</w:t>
      </w:r>
    </w:p>
    <w:p>
      <w:r>
        <w:t>工商登记: 91500000203049808L</w:t>
      </w:r>
    </w:p>
    <w:p>
      <w:r>
        <w:t>雇员人数: 7365</w:t>
      </w:r>
    </w:p>
    <w:p>
      <w:r>
        <w:t>管理人员人数: 24</w:t>
      </w:r>
    </w:p>
    <w:p>
      <w:r>
        <w:t>律师事务所: 北京市金杜(重庆)律师事务所</w:t>
      </w:r>
    </w:p>
    <w:p>
      <w:r>
        <w:t>会计师事务所: 信永中和会计师事务所(特殊普通合伙)</w:t>
      </w:r>
    </w:p>
    <w:p>
      <w:r>
        <w:t>公司简介: 重庆智飞生物制品股份有限公司成立于2002年,是一家集疫苗、生物制品研发、生产、销售、推广、配送及进出口为一体的国际化、全产业链生物高科技企业,2010年9月在深交所挂牌上市,为第一家在创业板上市的民营疫苗企业,旗下五家全资子公司及两家参股公司,其中北京智飞绿竹生物制药有限公司(简称“北京智飞绿竹”)及安徽智飞龙科马生物制药有限公司(简称“安徽智飞龙科马”)为高新技术企业。公司总资产537.10亿元,2024年前三季度营业收入227.86亿元。公司始终本着“社会效益第一,企业效益第二”的企业宗旨及“六个第一,六个第二”的核心价值观,以防未病治已病,守护人类健康为使命,致力于打造世界一流的生物制药企业。公司主营的人用疫苗为国家七大战略性新兴产业,发展前景广阔。现在售自主产品包括重组新型冠状病毒蛋白疫苗(CHO细胞)(智克威得)、注射用母牛分枝杆菌(微卡)、重组结核杆菌融合蛋白(EC,宜卡)、ACYW135群脑膜炎球菌多糖疫苗(盟威克)、A群C群脑膜炎球菌多糖结合疫苗(盟纳康)、b型流感嗜血杆菌结合疫苗(喜菲贝)等,同时,公司统一销售美国默沙东授权的四价人乳头瘤病毒疫苗(酿酒酵母)、九价人乳头瘤病毒疫苗(酿酒酵母)、口服五价重配轮状病毒减毒活疫苗(Vero细胞)、23价肺炎球菌多糖疫苗、甲型肝炎灭活疫苗(人二倍体细胞)等所有在中国大陆上市的进口疫苗。此外,公司于2023年10月与GSK就其研发产的重组带状疱疹疫苗的供应、经销与联合推广达成合作,独家代理该产品。公司通过“技术&amp;市场”双轮驱动的模式,不断完善“防未病、治已病”的产业布局,形成了研发、市场相互促进、互相转化的良好循环机制,加速了疫苗产品从研发到实现市场价值转换的进程,逐步形成了独具特色的核心竞争力。在研发上,公司采取“自主研发为主、合作研发为辅、投资孵化为补”的创新策略,组建了素质过硬的专家研发团队,构造了全方位的立体研发平台,先后参与了科技部863计划“现代医学技术”项目、国家新药创制重大专项等40余项重大项目。重点在北京、安徽、重庆打造了3个研产基地,在北京、上海等地设立了多个研发中心,目前公告在研项目29项。已建立了流脑疫苗矩阵、肺炎疫苗矩阵、肠道疫苗矩阵、结核产品矩阵、多联疫苗矩阵、新发突发传染病疫苗矩阵、成人疫苗矩阵、升级换代疫苗矩阵等八大产品矩阵,构建了多糖和多糖蛋白结合疫苗技术平台、基因重组技术平台、灭活疫苗技术平台、多联多价技术平台、mRNA疫苗技术平台、新型佐剂技术平台、人二倍体细胞株技术平台、腺病毒载体疫苗技术平台、外膜囊泡(OMV)技术平台等九大技术平台。为积极应对新型冠状病毒肺炎疫情,公司与中国科学院微生物研究所合作开发重组新型冠状病毒蛋白疫苗(CHO细胞),及时启动新冠疫苗研发,该疫苗项目被纳入国家科技部“公共安全风险防控与应急技术装备”重点专项,2021年相继获得乌兹别克斯坦疫苗上市许可及我国紧急使用许可,成为首个国际上市及获得国内紧急使用许可并取得Ⅲ期临床关键性数据的重组亚单位新型冠状病毒疫苗,2022年3月获批我国附条件上市,目前在国内外接种使用已超过3.5亿剂次,为新冠疫情的防控做出积极贡献。公司重组结核杆菌融合蛋白(EC)及注射用母牛分枝杆菌(微卡)结核双产品先后上市,EC被世界卫生组织(WHO)推荐用于诊断结核感染,能精准筛查结核杆菌感染情况,目前已被纳入国家医保目录;微卡不仅对于结核感染高危人群、结核潜伏感染者等有良好的预防作用,而且对活动性结核病辅助治疗也有很好的效果,对攻克结核病意义重大。同时,公司布局生物医药大健康产业,深耕肿瘤、自身免疫性疾病、代谢类疾病、神经退行性疾病、心血管类疾病等领域,形成了“预防+诊断+治疗”立体化发展体系。在市场推广上,公司构建了覆盖全面、深入的服务网络,为全国31个省、自治区、直辖市,包括300多个地市,2600多个区县,30000余个基层卫生服务点(乡镇接种点、社区门诊)提供持续、快捷、全面的优质服务。公司通过自建符合国家GSP要求的冷链系统,实现疫苗储存、运输无缝冷链,通过具有实时温度监测系统、可远程自动监测报警的冷藏车保质保量地将疫苗产品输送到各疾病预防控制中心。公司自成立以来,始终本着“社会效益第一,企业效益第二”的企业宗旨及“六个第一,六个第二”的核心价值观,以提高国民预防健康意识为己任,先后将十余种预防各类疾病的疫苗产品导入市场,为国民带来了健康的福音,为促进社会公共卫生事业的发展起到较大的推动作用,创造了较好的社会效益,截止目前,已累计纳税近210亿元。此外,公司聚焦医疗健康、教育事业、乡村振兴等领域开展慈善公益事业,积极履行社会责任。今年以来,公司在疾病防控、乡村振兴、防灾救灾、兴教助学等方面贡献力量,智飞龙科马向西藏自治区结核病公益项目捐资助物超1000万元,支持西藏自治区开展潜伏性结核感染筛查、预防性治疗、健康教育与健康促进等项目;公司通过重庆市慈善总会向河北灾区捐赠1000万元支援当地抗洪救灾和灾后重建工作;公司积极参与“爱心暖童心·圆梦六一”公益活动,用行动践行责任与使命。近年来,公司向重庆光彩事业基金会捐赠500万元,向四川省甘孜州地震灾区捐资助物共500万元,参与“万企兴万村”行动,向重庆、广西捐款3000万元用于改善基层医疗卫生条件、向河南捐资助物3000万元;新型冠状病毒疫情期间第一时间向湖北省捐款1000万元用以疫情防控、公司董事长个人向灌阳县翰林教育基金会捐赠1000万元……此外,公司充分发挥自身优势,向巴西里约热内卢联邦大学捐赠宜卡、向印度尼西亚捐赠重组新冠疫苗、向江苏、宁夏、云南、河北、安徽等地捐赠宜卡和微卡等疫苗、生物制品,公司先后向中国人口福利基金会护航疾控基金、中国妇女基金会红十字基金会、重庆市慈善总会、乡村学校、大学图书馆等捐筹善款,用以支持疾病预防、女性健康和改善基层医疗机构条件、完善学校设施,资助乡村贫困学生、受艾滋病影响的贫困儿童接受教育和治疗等,近年累计捐资助物超过4亿元,获得第十二届中华慈善奖。经过二十年的努力发展,公司得到了社会各界的认可,公司董事长入选福布斯2021中国最佳CEO榜排名第9位,荣获国务院特殊津贴、全国抗击新冠肺炎疫情民营经济先进个人、第五届优秀中国特色社会主义事业建设者、2019-2020年度重庆市富民兴渝贡献奖、重庆市英才、重庆市杰出英才奖等奖项,公司入选2023年《财富》中国500强、2022年福布斯全球企业2000强,全球疫苗企业TOP10,《财富》杂志2021全球未来50强、全国工商联2021中国民营企业社会责任优秀案例并在全国22家优秀案例中位列第一、中国民营企业500强,获得2023中国制造业上市公司社会责任五星金奖、全国抗疫先进企业、全国非公有制企业双强百佳党组织、全国守合同重信用企业、全国商务诚信试点企业、中国AAA级信用企业、中国资本年会A股最佳上市公司20强、重庆五一劳动奖状、重庆市精神文明单位、重庆市优秀创新型企业、重庆企业100强等荣誉称号。</w:t>
      </w:r>
    </w:p>
    <w:p>
      <w:r>
        <w:t>经营范围: 批发生物制品;境外疫苗代理进口及销售;生物技术研究开发、技术咨询服务;货物及技术进出口;仓储服务(不含危险品);生物制品市场推广宣传服务;普通货运、货物专用运输(冷藏保鲜)、国内货物运输代理。</w:t>
      </w:r>
    </w:p>
    <w:p>
      <w:pPr>
        <w:pStyle w:val="Heading2"/>
      </w:pPr>
      <w:r>
        <w:t>发行相关信息</w:t>
      </w:r>
    </w:p>
    <w:p>
      <w:r>
        <w:t>保荐机构: 宏源证券股份有限公司</w:t>
      </w:r>
    </w:p>
    <w:p>
      <w:r>
        <w:t>主承销商: 宏源证券股份有限公司</w:t>
      </w:r>
    </w:p>
    <w:p>
      <w:r>
        <w:t>成立日期: 1995-07-20</w:t>
      </w:r>
    </w:p>
    <w:p>
      <w:r>
        <w:t>上市日期: 2010-09-28</w:t>
      </w:r>
    </w:p>
    <w:p>
      <w:r>
        <w:t>发行市盈率(倍): 66.63</w:t>
      </w:r>
    </w:p>
    <w:p>
      <w:r>
        <w:t>网上发行日期: 2010-09-13</w:t>
      </w:r>
    </w:p>
    <w:p>
      <w:r>
        <w:t>发行方式: 网下询价配售</w:t>
      </w:r>
    </w:p>
    <w:p>
      <w:r>
        <w:t>每股面值(元): 1</w:t>
      </w:r>
    </w:p>
    <w:p>
      <w:r>
        <w:t>发行量(股): 4000万</w:t>
      </w:r>
    </w:p>
    <w:p>
      <w:r>
        <w:t>每股发行价(元): 37.98</w:t>
      </w:r>
    </w:p>
    <w:p>
      <w:r>
        <w:t>发行费用(元): 8600万</w:t>
      </w:r>
    </w:p>
    <w:p>
      <w:r>
        <w:t>发行总市值(元): 15.19亿</w:t>
      </w:r>
    </w:p>
    <w:p>
      <w:r>
        <w:t>募集资金净额(元): 14.33亿</w:t>
      </w:r>
    </w:p>
    <w:p>
      <w:r>
        <w:t>首日开盘价(元): 42.88</w:t>
      </w:r>
    </w:p>
    <w:p>
      <w:r>
        <w:t>首日收盘价(元): 38.55</w:t>
      </w:r>
    </w:p>
    <w:p>
      <w:r>
        <w:t>首日换手率: 56.29%</w:t>
      </w:r>
    </w:p>
    <w:p>
      <w:r>
        <w:t>首日最高价(元): 43.60</w:t>
      </w:r>
    </w:p>
    <w:p>
      <w:r>
        <w:t>网下配售中签率: 1.62%</w:t>
      </w:r>
    </w:p>
    <w:p>
      <w:r>
        <w:t>定价中签率: 0.56%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